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DA64E" w14:textId="32F90415" w:rsidR="009B1D2A" w:rsidRPr="009B1D2A" w:rsidRDefault="009B1D2A" w:rsidP="009B1D2A">
      <w:pPr>
        <w:jc w:val="both"/>
        <w:rPr>
          <w:rFonts w:ascii="Charter" w:eastAsia="Calibri" w:hAnsi="Charter" w:cs="Times New Roman"/>
          <w:b/>
          <w:color w:val="000000"/>
          <w:szCs w:val="22"/>
        </w:rPr>
      </w:pPr>
      <w:r w:rsidRPr="009B1D2A">
        <w:rPr>
          <w:rFonts w:ascii="Charter" w:eastAsia="Calibri" w:hAnsi="Charter" w:cs="Times New Roman"/>
          <w:b/>
          <w:color w:val="000000"/>
          <w:szCs w:val="22"/>
        </w:rPr>
        <w:t>Together Fin. Svc.</w:t>
      </w:r>
    </w:p>
    <w:p w14:paraId="56DDCC97" w14:textId="53A57B18" w:rsidR="009B1D2A" w:rsidRPr="009B1D2A" w:rsidRDefault="009B1D2A" w:rsidP="009B1D2A">
      <w:pPr>
        <w:jc w:val="both"/>
        <w:rPr>
          <w:rFonts w:ascii="Charter" w:eastAsia="Calibri" w:hAnsi="Charter" w:cs="Times New Roman"/>
          <w:b/>
          <w:color w:val="000000"/>
          <w:szCs w:val="22"/>
        </w:rPr>
      </w:pPr>
      <w:r w:rsidRPr="009B1D2A">
        <w:rPr>
          <w:rFonts w:ascii="Charter" w:eastAsia="Calibri" w:hAnsi="Charter" w:cs="Times New Roman"/>
          <w:b/>
          <w:color w:val="000000"/>
          <w:szCs w:val="22"/>
        </w:rPr>
        <w:t xml:space="preserve">2024 25 Q1 Results Announcement </w:t>
      </w:r>
    </w:p>
    <w:p w14:paraId="780DFB7C" w14:textId="5EB1AB3B" w:rsidR="009B1D2A" w:rsidRPr="009B1D2A" w:rsidRDefault="009B1D2A" w:rsidP="009B1D2A">
      <w:pPr>
        <w:jc w:val="both"/>
        <w:rPr>
          <w:rFonts w:ascii="Charter" w:eastAsia="Calibri" w:hAnsi="Charter" w:cs="Times New Roman"/>
          <w:color w:val="000000"/>
          <w:szCs w:val="22"/>
        </w:rPr>
      </w:pPr>
      <w:r>
        <w:rPr>
          <w:rFonts w:ascii="Charter" w:eastAsia="Calibri" w:hAnsi="Charter" w:cs="Times New Roman"/>
          <w:color w:val="000000"/>
          <w:szCs w:val="22"/>
        </w:rPr>
        <w:t>21</w:t>
      </w:r>
      <w:r w:rsidRPr="009B1D2A">
        <w:rPr>
          <w:rFonts w:ascii="Charter" w:eastAsia="Calibri" w:hAnsi="Charter" w:cs="Times New Roman"/>
          <w:color w:val="000000"/>
          <w:szCs w:val="22"/>
          <w:vertAlign w:val="superscript"/>
        </w:rPr>
        <w:t>st</w:t>
      </w:r>
      <w:r>
        <w:rPr>
          <w:rFonts w:ascii="Charter" w:eastAsia="Calibri" w:hAnsi="Charter" w:cs="Times New Roman"/>
          <w:color w:val="000000"/>
          <w:szCs w:val="22"/>
        </w:rPr>
        <w:t xml:space="preserve"> </w:t>
      </w:r>
      <w:r w:rsidRPr="009B1D2A">
        <w:rPr>
          <w:rFonts w:ascii="Charter" w:eastAsia="Calibri" w:hAnsi="Charter" w:cs="Times New Roman"/>
          <w:color w:val="000000"/>
          <w:szCs w:val="22"/>
        </w:rPr>
        <w:t>November 2024</w:t>
      </w:r>
    </w:p>
    <w:p w14:paraId="2B67868B" w14:textId="1F534748" w:rsidR="00271FC8" w:rsidRPr="00002775" w:rsidRDefault="00271FC8" w:rsidP="00271FC8">
      <w:pPr>
        <w:spacing w:before="242" w:after="100" w:afterAutospacing="1" w:line="259" w:lineRule="auto"/>
        <w:jc w:val="center"/>
        <w:rPr>
          <w:rFonts w:ascii="Charter" w:eastAsia="Times New Roman" w:hAnsi="Charter" w:cs="Times New Roman"/>
          <w:b/>
          <w:bCs/>
          <w:color w:val="3F2C59"/>
          <w:sz w:val="24"/>
          <w:szCs w:val="28"/>
          <w:lang w:val="en-US"/>
        </w:rPr>
      </w:pPr>
      <w:r w:rsidRPr="00002775">
        <w:rPr>
          <w:rFonts w:ascii="Charter" w:eastAsia="Times New Roman" w:hAnsi="Charter" w:cs="Times New Roman"/>
          <w:b/>
          <w:bCs/>
          <w:color w:val="3F2C59"/>
          <w:sz w:val="24"/>
          <w:szCs w:val="28"/>
          <w:lang w:val="en-US"/>
        </w:rPr>
        <w:t>Together Financial Services Limited</w:t>
      </w:r>
    </w:p>
    <w:p w14:paraId="3DA15FA2" w14:textId="77777777" w:rsidR="00271FC8" w:rsidRDefault="00271FC8" w:rsidP="00271FC8">
      <w:pPr>
        <w:autoSpaceDE w:val="0"/>
        <w:autoSpaceDN w:val="0"/>
        <w:adjustRightInd w:val="0"/>
        <w:spacing w:after="360"/>
        <w:jc w:val="center"/>
        <w:rPr>
          <w:rFonts w:ascii="Charter" w:hAnsi="Charter"/>
          <w:bCs/>
          <w:szCs w:val="20"/>
        </w:rPr>
      </w:pPr>
      <w:r>
        <w:rPr>
          <w:rFonts w:ascii="Charter" w:eastAsia="Times New Roman" w:hAnsi="Charter" w:cs="Times New Roman"/>
          <w:b/>
          <w:bCs/>
          <w:color w:val="3F2C59"/>
          <w:sz w:val="22"/>
          <w:szCs w:val="28"/>
          <w:lang w:val="en-US"/>
        </w:rPr>
        <w:t>21 November 2024</w:t>
      </w:r>
    </w:p>
    <w:p w14:paraId="72DE9B39" w14:textId="77777777" w:rsidR="00271FC8" w:rsidRDefault="00271FC8"/>
    <w:p w14:paraId="60F5BD96" w14:textId="77777777" w:rsidR="00271FC8" w:rsidRPr="00271FC8" w:rsidRDefault="00271FC8" w:rsidP="00271FC8">
      <w:pPr>
        <w:autoSpaceDE w:val="0"/>
        <w:autoSpaceDN w:val="0"/>
        <w:adjustRightInd w:val="0"/>
        <w:jc w:val="both"/>
        <w:rPr>
          <w:rFonts w:ascii="Charter" w:eastAsia="Times New Roman" w:hAnsi="Charter" w:cs="Calibri"/>
          <w:szCs w:val="20"/>
        </w:rPr>
      </w:pPr>
      <w:r w:rsidRPr="00271FC8">
        <w:rPr>
          <w:rFonts w:ascii="Charter" w:eastAsia="Times New Roman" w:hAnsi="Charter" w:cs="Times New Roman"/>
          <w:bCs/>
          <w:szCs w:val="20"/>
        </w:rPr>
        <w:t xml:space="preserve">Together Financial Services Limited (‘Together’ or ‘the Group’), one of the UK’s leading non-bank relationship lenders, is pleased to announce its </w:t>
      </w:r>
      <w:r w:rsidRPr="00271FC8">
        <w:rPr>
          <w:rFonts w:ascii="Charter" w:eastAsia="Times New Roman" w:hAnsi="Charter" w:cs="Calibri"/>
          <w:szCs w:val="20"/>
        </w:rPr>
        <w:t>results for the quarter ended September 30, 2024.</w:t>
      </w:r>
    </w:p>
    <w:p w14:paraId="4E770247" w14:textId="77777777" w:rsidR="00271FC8" w:rsidRPr="00271FC8" w:rsidRDefault="00271FC8" w:rsidP="00271FC8">
      <w:pPr>
        <w:spacing w:line="180" w:lineRule="atLeast"/>
        <w:jc w:val="both"/>
        <w:rPr>
          <w:rFonts w:ascii="Charter" w:eastAsia="SimHei" w:hAnsi="Charter" w:cs="Times New Roman" w:hint="eastAsia"/>
          <w:b/>
          <w:bCs/>
          <w:color w:val="3F2C59"/>
          <w:szCs w:val="20"/>
        </w:rPr>
      </w:pPr>
    </w:p>
    <w:p w14:paraId="469F2F04" w14:textId="77777777" w:rsidR="00271FC8" w:rsidRPr="00271FC8" w:rsidRDefault="00271FC8" w:rsidP="00271FC8">
      <w:pPr>
        <w:spacing w:after="200" w:line="246" w:lineRule="atLeast"/>
        <w:jc w:val="both"/>
        <w:rPr>
          <w:rFonts w:ascii="Charter" w:eastAsia="Times New Roman" w:hAnsi="Charter" w:cs="Times New Roman"/>
          <w:b/>
          <w:color w:val="00A19A"/>
          <w:szCs w:val="20"/>
        </w:rPr>
      </w:pPr>
      <w:r w:rsidRPr="00271FC8">
        <w:rPr>
          <w:rFonts w:ascii="Charter" w:eastAsia="SimHei" w:hAnsi="Charter" w:cs="Times New Roman" w:hint="eastAsia"/>
          <w:b/>
          <w:bCs/>
          <w:color w:val="3F2C59"/>
          <w:szCs w:val="20"/>
        </w:rPr>
        <w:t>Commenting on today</w:t>
      </w:r>
      <w:r w:rsidRPr="00271FC8">
        <w:rPr>
          <w:rFonts w:ascii="Charter" w:eastAsia="SimHei" w:hAnsi="Charter" w:cs="Times New Roman"/>
          <w:b/>
          <w:bCs/>
          <w:color w:val="3F2C59"/>
          <w:szCs w:val="20"/>
        </w:rPr>
        <w:t>’</w:t>
      </w:r>
      <w:r w:rsidRPr="00271FC8">
        <w:rPr>
          <w:rFonts w:ascii="Charter" w:eastAsia="SimHei" w:hAnsi="Charter" w:cs="Times New Roman" w:hint="eastAsia"/>
          <w:b/>
          <w:bCs/>
          <w:color w:val="3F2C59"/>
          <w:szCs w:val="20"/>
        </w:rPr>
        <w:t>s results, Mike McTighe, Chairman of Together, said:</w:t>
      </w:r>
    </w:p>
    <w:p w14:paraId="2D104AAA" w14:textId="77777777" w:rsidR="003B5831" w:rsidRPr="00814C42" w:rsidRDefault="003B5831" w:rsidP="003B5831">
      <w:pPr>
        <w:spacing w:after="120"/>
        <w:jc w:val="both"/>
        <w:rPr>
          <w:rFonts w:ascii="Charter" w:hAnsi="Charter"/>
        </w:rPr>
      </w:pPr>
      <w:r w:rsidRPr="00814C42">
        <w:rPr>
          <w:rFonts w:ascii="Charter" w:hAnsi="Charter"/>
        </w:rPr>
        <w:t>“Together delivered another strong performance in the quarter to 30 September, growing the loan book to £7.6bn while the Group remained highly profitable and cash generative.</w:t>
      </w:r>
    </w:p>
    <w:p w14:paraId="650D39B7" w14:textId="77777777" w:rsidR="003B5831" w:rsidRPr="00814C42" w:rsidRDefault="003B5831" w:rsidP="003B5831">
      <w:pPr>
        <w:spacing w:after="120"/>
        <w:jc w:val="both"/>
        <w:rPr>
          <w:rFonts w:ascii="Charter" w:hAnsi="Charter"/>
        </w:rPr>
      </w:pPr>
      <w:r w:rsidRPr="00814C42">
        <w:rPr>
          <w:rFonts w:ascii="Charter" w:hAnsi="Charter"/>
        </w:rPr>
        <w:t xml:space="preserve">“Originations remained robust as we further increased interest receivable and similar income, underlying profit before tax and cash receipts during the quarter, and we successfully raised or refinanced over £1bn of facilities to end the period with </w:t>
      </w:r>
      <w:r>
        <w:rPr>
          <w:rFonts w:ascii="Charter" w:hAnsi="Charter"/>
        </w:rPr>
        <w:t>c</w:t>
      </w:r>
      <w:r w:rsidRPr="00814C42">
        <w:rPr>
          <w:rFonts w:ascii="Charter" w:hAnsi="Charter"/>
        </w:rPr>
        <w:t>£1.</w:t>
      </w:r>
      <w:r>
        <w:rPr>
          <w:rFonts w:ascii="Charter" w:hAnsi="Charter"/>
        </w:rPr>
        <w:t>0</w:t>
      </w:r>
      <w:r w:rsidRPr="00814C42">
        <w:rPr>
          <w:rFonts w:ascii="Charter" w:hAnsi="Charter"/>
        </w:rPr>
        <w:t>bn of funding headroom. We have continued to strengthen and enhance our Executive team, announcing the appointment of Richard Rowntree as our new CEO and promoting Chris Adams to CFO and John Barker to CEO of our Personal Finance division. We were also delighted to be named one of ‘Europe’s Long-term Growth Champions’ by the Financial Times in October.</w:t>
      </w:r>
    </w:p>
    <w:p w14:paraId="476C1924" w14:textId="77777777" w:rsidR="003B5831" w:rsidRDefault="003B5831" w:rsidP="003B5831">
      <w:pPr>
        <w:spacing w:after="120"/>
        <w:jc w:val="both"/>
        <w:rPr>
          <w:rFonts w:ascii="Charter" w:hAnsi="Charter"/>
        </w:rPr>
      </w:pPr>
      <w:r w:rsidRPr="00814C42">
        <w:rPr>
          <w:rFonts w:ascii="Charter" w:hAnsi="Charter"/>
        </w:rPr>
        <w:t xml:space="preserve">“While inflation is now </w:t>
      </w:r>
      <w:r>
        <w:rPr>
          <w:rFonts w:ascii="Charter" w:hAnsi="Charter"/>
        </w:rPr>
        <w:t>close to</w:t>
      </w:r>
      <w:r w:rsidRPr="00814C42">
        <w:rPr>
          <w:rFonts w:ascii="Charter" w:hAnsi="Charter"/>
        </w:rPr>
        <w:t xml:space="preserve"> the Bank of England’s target and interest rates are </w:t>
      </w:r>
      <w:r>
        <w:rPr>
          <w:rFonts w:ascii="Charter" w:hAnsi="Charter"/>
        </w:rPr>
        <w:t>continuing to reduce gradually</w:t>
      </w:r>
      <w:r w:rsidRPr="00814C42">
        <w:rPr>
          <w:rFonts w:ascii="Charter" w:hAnsi="Charter"/>
        </w:rPr>
        <w:t>, UK economic growth is forecast to remain modest. Against this backdrop</w:t>
      </w:r>
      <w:r>
        <w:rPr>
          <w:rFonts w:ascii="Charter" w:hAnsi="Charter"/>
        </w:rPr>
        <w:t xml:space="preserve"> and</w:t>
      </w:r>
      <w:r w:rsidRPr="00814C42">
        <w:rPr>
          <w:rFonts w:ascii="Charter" w:hAnsi="Charter"/>
        </w:rPr>
        <w:t xml:space="preserve"> </w:t>
      </w:r>
      <w:r>
        <w:rPr>
          <w:rFonts w:ascii="Charter" w:hAnsi="Charter"/>
        </w:rPr>
        <w:t xml:space="preserve">as evidenced by our recent residential property market report, </w:t>
      </w:r>
      <w:r w:rsidRPr="00814C42">
        <w:rPr>
          <w:rFonts w:ascii="Charter" w:hAnsi="Charter"/>
        </w:rPr>
        <w:t>we expect many more customers will be underserved by mainstream lenders and look to specialist</w:t>
      </w:r>
      <w:r>
        <w:rPr>
          <w:rFonts w:ascii="Charter" w:hAnsi="Charter"/>
        </w:rPr>
        <w:t xml:space="preserve"> lenders</w:t>
      </w:r>
      <w:r w:rsidRPr="00814C42">
        <w:rPr>
          <w:rFonts w:ascii="Charter" w:hAnsi="Charter"/>
        </w:rPr>
        <w:t>, like Together, for support. We will continue to be there to help our customers realise their ambitions and to play our part in supporting the UK economy, as we have for the last 50 years.”</w:t>
      </w:r>
    </w:p>
    <w:p w14:paraId="52B22898" w14:textId="77777777" w:rsidR="00271FC8" w:rsidRPr="00271FC8" w:rsidRDefault="00271FC8" w:rsidP="00271FC8">
      <w:pPr>
        <w:spacing w:after="120"/>
        <w:jc w:val="both"/>
        <w:rPr>
          <w:rFonts w:ascii="Charter" w:eastAsia="Times New Roman" w:hAnsi="Charter" w:cs="Times New Roman"/>
        </w:rPr>
      </w:pPr>
    </w:p>
    <w:p w14:paraId="17CC3F9D" w14:textId="77777777" w:rsidR="00271FC8" w:rsidRPr="00271FC8" w:rsidRDefault="00271FC8" w:rsidP="00271FC8">
      <w:pPr>
        <w:spacing w:after="200" w:line="246" w:lineRule="atLeast"/>
        <w:jc w:val="both"/>
        <w:rPr>
          <w:rFonts w:ascii="Charter" w:eastAsia="Times New Roman" w:hAnsi="Charter" w:cs="Times New Roman"/>
          <w:b/>
          <w:color w:val="3F2C59"/>
          <w:szCs w:val="20"/>
        </w:rPr>
      </w:pPr>
      <w:r w:rsidRPr="00271FC8" w:rsidDel="00FC566B">
        <w:rPr>
          <w:rFonts w:ascii="Charter" w:eastAsia="Times New Roman" w:hAnsi="Charter" w:cs="Times New Roman"/>
          <w:b/>
          <w:bCs/>
          <w:color w:val="00A19A"/>
          <w:sz w:val="56"/>
          <w:szCs w:val="20"/>
        </w:rPr>
        <w:t xml:space="preserve"> </w:t>
      </w:r>
      <w:r w:rsidRPr="00271FC8">
        <w:rPr>
          <w:rFonts w:ascii="Charter" w:eastAsia="Times New Roman" w:hAnsi="Charter" w:cs="Times New Roman"/>
          <w:b/>
          <w:color w:val="3F2C59"/>
          <w:szCs w:val="20"/>
        </w:rPr>
        <w:t>Financial highlights: quarter ended September 30, 2024</w:t>
      </w:r>
    </w:p>
    <w:p w14:paraId="11B12F32" w14:textId="77777777" w:rsidR="00271FC8" w:rsidRPr="00271FC8" w:rsidRDefault="00271FC8" w:rsidP="00271FC8">
      <w:pPr>
        <w:numPr>
          <w:ilvl w:val="0"/>
          <w:numId w:val="2"/>
        </w:numPr>
        <w:spacing w:after="100" w:line="246" w:lineRule="atLeast"/>
        <w:ind w:left="357" w:hanging="357"/>
        <w:jc w:val="both"/>
        <w:rPr>
          <w:rFonts w:ascii="Charter" w:eastAsia="Times New Roman" w:hAnsi="Charter" w:cs="Times New Roman"/>
          <w:color w:val="3F2C59"/>
          <w:szCs w:val="20"/>
        </w:rPr>
      </w:pPr>
      <w:r w:rsidRPr="00271FC8">
        <w:rPr>
          <w:rFonts w:ascii="Charter" w:eastAsia="Times New Roman" w:hAnsi="Charter" w:cs="Times New Roman"/>
          <w:color w:val="3F2C59"/>
          <w:szCs w:val="20"/>
        </w:rPr>
        <w:t xml:space="preserve">Robust loan book growth at conservative LTVs </w:t>
      </w:r>
    </w:p>
    <w:p w14:paraId="21F15379" w14:textId="77777777" w:rsidR="003B5831" w:rsidRPr="00920EF8" w:rsidRDefault="003B5831" w:rsidP="003B5831">
      <w:pPr>
        <w:numPr>
          <w:ilvl w:val="4"/>
          <w:numId w:val="1"/>
        </w:numPr>
        <w:spacing w:after="100" w:line="246" w:lineRule="atLeast"/>
        <w:ind w:left="851" w:hanging="357"/>
        <w:jc w:val="both"/>
        <w:rPr>
          <w:rFonts w:ascii="Charter" w:hAnsi="Charter"/>
          <w:szCs w:val="20"/>
        </w:rPr>
      </w:pPr>
      <w:r w:rsidRPr="00920EF8">
        <w:rPr>
          <w:rFonts w:ascii="Charter" w:hAnsi="Charter"/>
          <w:szCs w:val="20"/>
        </w:rPr>
        <w:t xml:space="preserve">Average monthly lending of </w:t>
      </w:r>
      <w:r w:rsidRPr="00920EF8">
        <w:rPr>
          <w:rFonts w:ascii="Charter" w:hAnsi="Charter" w:hint="eastAsia"/>
          <w:szCs w:val="20"/>
        </w:rPr>
        <w:t>£</w:t>
      </w:r>
      <w:r w:rsidRPr="00920EF8">
        <w:rPr>
          <w:rFonts w:ascii="Charter" w:hAnsi="Charter"/>
          <w:szCs w:val="20"/>
        </w:rPr>
        <w:t>269.3m, up 20.5% on Q1</w:t>
      </w:r>
      <w:r w:rsidRPr="00920EF8">
        <w:rPr>
          <w:rFonts w:ascii="Charter" w:eastAsia="Times New Roman" w:hAnsi="Charter" w:cs="Times New Roman" w:hint="eastAsia"/>
          <w:szCs w:val="20"/>
        </w:rPr>
        <w:t>‘</w:t>
      </w:r>
      <w:r w:rsidRPr="00920EF8">
        <w:rPr>
          <w:rFonts w:ascii="Charter" w:hAnsi="Charter"/>
          <w:szCs w:val="20"/>
        </w:rPr>
        <w:t>24 (</w:t>
      </w:r>
      <w:r w:rsidRPr="00920EF8">
        <w:rPr>
          <w:rFonts w:ascii="Charter" w:hAnsi="Charter" w:hint="eastAsia"/>
          <w:szCs w:val="20"/>
        </w:rPr>
        <w:t>£</w:t>
      </w:r>
      <w:r w:rsidRPr="00920EF8">
        <w:rPr>
          <w:rFonts w:ascii="Charter" w:hAnsi="Charter"/>
          <w:szCs w:val="20"/>
        </w:rPr>
        <w:t xml:space="preserve">223.5m), slightly down </w:t>
      </w:r>
      <w:r>
        <w:rPr>
          <w:rFonts w:ascii="Charter" w:hAnsi="Charter"/>
          <w:szCs w:val="20"/>
        </w:rPr>
        <w:t>3.5</w:t>
      </w:r>
      <w:r w:rsidRPr="00920EF8">
        <w:rPr>
          <w:rFonts w:ascii="Charter" w:hAnsi="Charter"/>
          <w:szCs w:val="20"/>
        </w:rPr>
        <w:t>% on Q4</w:t>
      </w:r>
      <w:r w:rsidRPr="00920EF8">
        <w:rPr>
          <w:rFonts w:ascii="Charter" w:eastAsia="Times New Roman" w:hAnsi="Charter" w:cs="Times New Roman" w:hint="eastAsia"/>
          <w:szCs w:val="20"/>
        </w:rPr>
        <w:t>‘</w:t>
      </w:r>
      <w:r w:rsidRPr="00920EF8">
        <w:rPr>
          <w:rFonts w:ascii="Charter" w:hAnsi="Charter"/>
          <w:szCs w:val="20"/>
        </w:rPr>
        <w:t>24 (</w:t>
      </w:r>
      <w:r w:rsidRPr="00920EF8">
        <w:rPr>
          <w:rFonts w:ascii="Charter" w:hAnsi="Charter" w:hint="eastAsia"/>
          <w:szCs w:val="20"/>
        </w:rPr>
        <w:t>£</w:t>
      </w:r>
      <w:r w:rsidRPr="00920EF8">
        <w:rPr>
          <w:rFonts w:ascii="Charter" w:hAnsi="Charter"/>
          <w:szCs w:val="20"/>
        </w:rPr>
        <w:t>279.2m)</w:t>
      </w:r>
    </w:p>
    <w:p w14:paraId="421C1A54" w14:textId="77777777" w:rsidR="003B5831" w:rsidRPr="00920EF8" w:rsidRDefault="003B5831" w:rsidP="003B5831">
      <w:pPr>
        <w:numPr>
          <w:ilvl w:val="5"/>
          <w:numId w:val="1"/>
        </w:numPr>
        <w:spacing w:after="50" w:line="246" w:lineRule="atLeast"/>
        <w:ind w:left="1417" w:hanging="357"/>
        <w:jc w:val="both"/>
        <w:rPr>
          <w:rFonts w:ascii="Charter" w:hAnsi="Charter"/>
          <w:szCs w:val="20"/>
        </w:rPr>
      </w:pPr>
      <w:r w:rsidRPr="00920EF8">
        <w:rPr>
          <w:rFonts w:ascii="Charter" w:hAnsi="Charter"/>
          <w:szCs w:val="20"/>
        </w:rPr>
        <w:t>Conservative weighted average origination LTVs of 60.0% (Q1‘24: 58.6%; Q4‘24: 60.1%)</w:t>
      </w:r>
    </w:p>
    <w:p w14:paraId="4B2AEC65" w14:textId="77777777" w:rsidR="003B5831" w:rsidRPr="00920EF8" w:rsidRDefault="003B5831" w:rsidP="003B5831">
      <w:pPr>
        <w:numPr>
          <w:ilvl w:val="4"/>
          <w:numId w:val="1"/>
        </w:numPr>
        <w:spacing w:after="100" w:line="246" w:lineRule="atLeast"/>
        <w:ind w:left="851" w:hanging="357"/>
        <w:jc w:val="both"/>
        <w:rPr>
          <w:rFonts w:ascii="Charter" w:hAnsi="Charter"/>
          <w:szCs w:val="20"/>
        </w:rPr>
      </w:pPr>
      <w:r w:rsidRPr="00920EF8">
        <w:rPr>
          <w:rFonts w:ascii="Charter" w:hAnsi="Charter"/>
          <w:szCs w:val="20"/>
        </w:rPr>
        <w:t>Group net loan book increased to £7.6bn, up 1</w:t>
      </w:r>
      <w:r>
        <w:rPr>
          <w:rFonts w:ascii="Charter" w:hAnsi="Charter"/>
          <w:szCs w:val="20"/>
        </w:rPr>
        <w:t>4</w:t>
      </w:r>
      <w:r w:rsidRPr="00920EF8">
        <w:rPr>
          <w:rFonts w:ascii="Charter" w:hAnsi="Charter"/>
          <w:szCs w:val="20"/>
        </w:rPr>
        <w:t>.7% on Q1‘24 (£6.6bn) and up 3.0% on Q4‘24 (£7.4bn</w:t>
      </w:r>
      <w:r w:rsidRPr="00920EF8">
        <w:rPr>
          <w:rFonts w:ascii="Charter" w:eastAsia="Times New Roman" w:hAnsi="Charter" w:cs="Times New Roman"/>
          <w:szCs w:val="20"/>
        </w:rPr>
        <w:t>)</w:t>
      </w:r>
    </w:p>
    <w:p w14:paraId="48BBBD67" w14:textId="77777777" w:rsidR="003B5831" w:rsidRPr="00920EF8" w:rsidRDefault="003B5831" w:rsidP="003B5831">
      <w:pPr>
        <w:numPr>
          <w:ilvl w:val="5"/>
          <w:numId w:val="1"/>
        </w:numPr>
        <w:spacing w:after="50" w:line="246" w:lineRule="atLeast"/>
        <w:ind w:left="1417" w:hanging="357"/>
        <w:jc w:val="both"/>
        <w:rPr>
          <w:rFonts w:ascii="Charter" w:hAnsi="Charter"/>
          <w:szCs w:val="20"/>
        </w:rPr>
      </w:pPr>
      <w:r w:rsidRPr="00920EF8">
        <w:rPr>
          <w:rFonts w:ascii="Charter" w:hAnsi="Charter"/>
          <w:szCs w:val="20"/>
        </w:rPr>
        <w:t>Weighted average indexed LTV remains very low at 55.6% (Q1‘24: 56.2%; Q4‘24: 55.7%)</w:t>
      </w:r>
    </w:p>
    <w:p w14:paraId="655DE2AC" w14:textId="0D1CC813" w:rsidR="003B5831" w:rsidRPr="00920EF8" w:rsidRDefault="003B5831" w:rsidP="003B5831">
      <w:pPr>
        <w:numPr>
          <w:ilvl w:val="5"/>
          <w:numId w:val="1"/>
        </w:numPr>
        <w:spacing w:after="100" w:line="246" w:lineRule="atLeast"/>
        <w:ind w:left="1417" w:hanging="357"/>
        <w:jc w:val="both"/>
        <w:rPr>
          <w:rFonts w:ascii="Charter" w:hAnsi="Charter"/>
          <w:szCs w:val="20"/>
        </w:rPr>
      </w:pPr>
      <w:r w:rsidRPr="00920EF8">
        <w:rPr>
          <w:rFonts w:ascii="Charter" w:hAnsi="Charter"/>
          <w:szCs w:val="20"/>
        </w:rPr>
        <w:t xml:space="preserve">In line with the wider industry, we are seeing </w:t>
      </w:r>
      <w:r w:rsidR="00BE716B">
        <w:rPr>
          <w:rFonts w:ascii="Charter" w:hAnsi="Charter"/>
          <w:szCs w:val="20"/>
        </w:rPr>
        <w:t xml:space="preserve">some </w:t>
      </w:r>
      <w:r w:rsidRPr="00920EF8">
        <w:rPr>
          <w:rFonts w:ascii="Charter" w:hAnsi="Charter"/>
          <w:szCs w:val="20"/>
        </w:rPr>
        <w:t>increase</w:t>
      </w:r>
      <w:r>
        <w:rPr>
          <w:rFonts w:ascii="Charter" w:hAnsi="Charter"/>
          <w:szCs w:val="20"/>
        </w:rPr>
        <w:t>s</w:t>
      </w:r>
      <w:r w:rsidRPr="00920EF8">
        <w:rPr>
          <w:rFonts w:ascii="Charter" w:hAnsi="Charter"/>
          <w:szCs w:val="20"/>
        </w:rPr>
        <w:t xml:space="preserve"> in arrears and continue to </w:t>
      </w:r>
      <w:r w:rsidR="00BE716B">
        <w:rPr>
          <w:rFonts w:ascii="Charter" w:hAnsi="Charter"/>
          <w:szCs w:val="20"/>
        </w:rPr>
        <w:t>manage</w:t>
      </w:r>
      <w:r w:rsidRPr="00920EF8">
        <w:rPr>
          <w:rFonts w:ascii="Charter" w:hAnsi="Charter"/>
          <w:szCs w:val="20"/>
        </w:rPr>
        <w:t xml:space="preserve"> carefully</w:t>
      </w:r>
    </w:p>
    <w:p w14:paraId="7E497E7D" w14:textId="77777777" w:rsidR="00271FC8" w:rsidRPr="00271FC8" w:rsidRDefault="00271FC8" w:rsidP="00271FC8">
      <w:pPr>
        <w:numPr>
          <w:ilvl w:val="0"/>
          <w:numId w:val="2"/>
        </w:numPr>
        <w:spacing w:after="100" w:line="246" w:lineRule="atLeast"/>
        <w:ind w:hanging="357"/>
        <w:jc w:val="both"/>
        <w:rPr>
          <w:rFonts w:ascii="Charter" w:eastAsia="Times New Roman" w:hAnsi="Charter" w:cs="Times New Roman"/>
          <w:color w:val="3F2C59"/>
          <w:szCs w:val="20"/>
        </w:rPr>
      </w:pPr>
      <w:r w:rsidRPr="00271FC8">
        <w:rPr>
          <w:rFonts w:ascii="Charter" w:eastAsia="Times New Roman" w:hAnsi="Charter" w:cs="Times New Roman"/>
          <w:color w:val="3F2C59"/>
          <w:szCs w:val="20"/>
        </w:rPr>
        <w:t>Strong and sustainable financial performance</w:t>
      </w:r>
    </w:p>
    <w:p w14:paraId="1F6F632F" w14:textId="77777777" w:rsidR="003B5831" w:rsidRPr="003B5831" w:rsidRDefault="003B5831" w:rsidP="003B5831">
      <w:pPr>
        <w:numPr>
          <w:ilvl w:val="4"/>
          <w:numId w:val="1"/>
        </w:numPr>
        <w:spacing w:after="100" w:line="246" w:lineRule="atLeast"/>
        <w:ind w:left="851" w:hanging="357"/>
        <w:jc w:val="both"/>
        <w:rPr>
          <w:rFonts w:ascii="Charter" w:hAnsi="Charter"/>
          <w:szCs w:val="20"/>
        </w:rPr>
      </w:pPr>
      <w:r w:rsidRPr="00920EF8">
        <w:rPr>
          <w:rFonts w:ascii="Charter" w:hAnsi="Charter"/>
          <w:szCs w:val="20"/>
        </w:rPr>
        <w:t xml:space="preserve">Interest </w:t>
      </w:r>
      <w:r w:rsidRPr="003B5831">
        <w:rPr>
          <w:rFonts w:ascii="Charter" w:hAnsi="Charter"/>
          <w:szCs w:val="20"/>
        </w:rPr>
        <w:t>receivable and similar income of £214.5m, up 17.3% on Q1‘24 (£182.9m) and up 3.7% on Q4‘24 (£206.9m)</w:t>
      </w:r>
    </w:p>
    <w:p w14:paraId="0F3CC66A" w14:textId="77777777" w:rsidR="003B5831" w:rsidRPr="00920EF8" w:rsidRDefault="003B5831" w:rsidP="003B5831">
      <w:pPr>
        <w:numPr>
          <w:ilvl w:val="4"/>
          <w:numId w:val="1"/>
        </w:numPr>
        <w:spacing w:after="100" w:line="246" w:lineRule="atLeast"/>
        <w:ind w:left="851" w:hanging="357"/>
        <w:jc w:val="both"/>
        <w:rPr>
          <w:rFonts w:ascii="Charter" w:hAnsi="Charter"/>
          <w:szCs w:val="20"/>
        </w:rPr>
      </w:pPr>
      <w:r>
        <w:rPr>
          <w:rFonts w:ascii="Charter" w:hAnsi="Charter"/>
          <w:szCs w:val="20"/>
        </w:rPr>
        <w:t>N</w:t>
      </w:r>
      <w:r w:rsidRPr="00920EF8">
        <w:rPr>
          <w:rFonts w:ascii="Charter" w:hAnsi="Charter"/>
          <w:szCs w:val="20"/>
        </w:rPr>
        <w:t>et interest margin rema</w:t>
      </w:r>
      <w:r>
        <w:rPr>
          <w:rFonts w:ascii="Charter" w:hAnsi="Charter"/>
          <w:szCs w:val="20"/>
        </w:rPr>
        <w:t>i</w:t>
      </w:r>
      <w:r w:rsidRPr="00920EF8">
        <w:rPr>
          <w:rFonts w:ascii="Charter" w:hAnsi="Charter"/>
          <w:szCs w:val="20"/>
        </w:rPr>
        <w:t>ns in line with prior quarter at 5.2% (Q1‘24: 5.5%; Q4‘24: 5.2%</w:t>
      </w:r>
      <w:r>
        <w:rPr>
          <w:rFonts w:ascii="Charter" w:hAnsi="Charter"/>
          <w:szCs w:val="20"/>
        </w:rPr>
        <w:t>)</w:t>
      </w:r>
    </w:p>
    <w:p w14:paraId="299476CC" w14:textId="77777777" w:rsidR="003B5831" w:rsidRPr="003B5831" w:rsidRDefault="003B5831" w:rsidP="003B5831">
      <w:pPr>
        <w:numPr>
          <w:ilvl w:val="4"/>
          <w:numId w:val="1"/>
        </w:numPr>
        <w:spacing w:after="100" w:line="246" w:lineRule="atLeast"/>
        <w:ind w:left="851" w:hanging="357"/>
        <w:jc w:val="both"/>
        <w:rPr>
          <w:rFonts w:ascii="Charter" w:hAnsi="Charter"/>
          <w:szCs w:val="20"/>
        </w:rPr>
      </w:pPr>
      <w:r w:rsidRPr="00920EF8">
        <w:rPr>
          <w:rFonts w:ascii="Charter" w:hAnsi="Charter"/>
          <w:szCs w:val="20"/>
        </w:rPr>
        <w:t>Annualised cost of risk of 0.79% (Q1‘24: 0.</w:t>
      </w:r>
      <w:r>
        <w:rPr>
          <w:rFonts w:ascii="Charter" w:hAnsi="Charter"/>
          <w:szCs w:val="20"/>
        </w:rPr>
        <w:t>76</w:t>
      </w:r>
      <w:r w:rsidRPr="00920EF8">
        <w:rPr>
          <w:rFonts w:ascii="Charter" w:hAnsi="Charter"/>
          <w:szCs w:val="20"/>
        </w:rPr>
        <w:t>%; Q4‘24: 0.85%)</w:t>
      </w:r>
    </w:p>
    <w:p w14:paraId="3F9E42FB" w14:textId="77777777" w:rsidR="003B5831" w:rsidRPr="00920EF8" w:rsidRDefault="003B5831" w:rsidP="003B5831">
      <w:pPr>
        <w:numPr>
          <w:ilvl w:val="4"/>
          <w:numId w:val="1"/>
        </w:numPr>
        <w:spacing w:after="100" w:line="246" w:lineRule="atLeast"/>
        <w:ind w:left="851" w:hanging="357"/>
        <w:jc w:val="both"/>
        <w:rPr>
          <w:rFonts w:ascii="Charter" w:eastAsia="Times New Roman" w:hAnsi="Charter" w:cs="Times New Roman"/>
          <w:szCs w:val="20"/>
        </w:rPr>
      </w:pPr>
      <w:r w:rsidRPr="003B5831">
        <w:rPr>
          <w:rFonts w:ascii="Charter" w:hAnsi="Charter"/>
          <w:szCs w:val="20"/>
        </w:rPr>
        <w:t>Group</w:t>
      </w:r>
      <w:r w:rsidRPr="00920EF8">
        <w:rPr>
          <w:rFonts w:ascii="Charter" w:eastAsia="Times New Roman" w:hAnsi="Charter" w:cs="Times New Roman"/>
          <w:szCs w:val="20"/>
        </w:rPr>
        <w:t xml:space="preserve"> remains highly profitable and cash generative</w:t>
      </w:r>
    </w:p>
    <w:p w14:paraId="357C6CFA" w14:textId="77777777" w:rsidR="003B5831" w:rsidRPr="00E907B2" w:rsidRDefault="003B5831" w:rsidP="003B5831">
      <w:pPr>
        <w:numPr>
          <w:ilvl w:val="5"/>
          <w:numId w:val="1"/>
        </w:numPr>
        <w:spacing w:after="50" w:line="246" w:lineRule="atLeast"/>
        <w:ind w:left="1417" w:hanging="357"/>
        <w:jc w:val="both"/>
        <w:rPr>
          <w:rFonts w:ascii="Charter" w:hAnsi="Charter"/>
          <w:szCs w:val="20"/>
        </w:rPr>
      </w:pPr>
      <w:r w:rsidRPr="00920EF8">
        <w:rPr>
          <w:rFonts w:ascii="Charter" w:hAnsi="Charter"/>
          <w:szCs w:val="20"/>
        </w:rPr>
        <w:t>Underlying profit before tax of £53.7m, up 1</w:t>
      </w:r>
      <w:r>
        <w:rPr>
          <w:rFonts w:ascii="Charter" w:hAnsi="Charter"/>
          <w:szCs w:val="20"/>
        </w:rPr>
        <w:t>2.6</w:t>
      </w:r>
      <w:r w:rsidRPr="00920EF8">
        <w:rPr>
          <w:rFonts w:ascii="Charter" w:hAnsi="Charter"/>
          <w:szCs w:val="20"/>
        </w:rPr>
        <w:t>% on Q1‘24 (£47.</w:t>
      </w:r>
      <w:r>
        <w:rPr>
          <w:rFonts w:ascii="Charter" w:hAnsi="Charter"/>
          <w:szCs w:val="20"/>
        </w:rPr>
        <w:t>7</w:t>
      </w:r>
      <w:r w:rsidRPr="00920EF8">
        <w:rPr>
          <w:rFonts w:ascii="Charter" w:hAnsi="Charter"/>
          <w:szCs w:val="20"/>
        </w:rPr>
        <w:t>m) and up 1.3% on Q4‘24 (£53.</w:t>
      </w:r>
      <w:r>
        <w:rPr>
          <w:rFonts w:ascii="Charter" w:hAnsi="Charter"/>
          <w:szCs w:val="20"/>
        </w:rPr>
        <w:t>0</w:t>
      </w:r>
      <w:r w:rsidRPr="00920EF8">
        <w:rPr>
          <w:rFonts w:ascii="Charter" w:hAnsi="Charter"/>
          <w:szCs w:val="20"/>
        </w:rPr>
        <w:t>m) primarily due to the increase in net interest income during the period a</w:t>
      </w:r>
      <w:r>
        <w:rPr>
          <w:rFonts w:ascii="Charter" w:hAnsi="Charter"/>
          <w:szCs w:val="20"/>
        </w:rPr>
        <w:t>nd</w:t>
      </w:r>
      <w:r w:rsidRPr="00920EF8">
        <w:rPr>
          <w:rFonts w:ascii="Charter" w:hAnsi="Charter"/>
          <w:szCs w:val="20"/>
        </w:rPr>
        <w:t xml:space="preserve"> </w:t>
      </w:r>
      <w:r>
        <w:rPr>
          <w:rFonts w:ascii="Charter" w:hAnsi="Charter"/>
          <w:szCs w:val="20"/>
        </w:rPr>
        <w:t>continued cost efficiency with underlying cost to income ratio remaining low at 30.3% (Q1’24: 31.6%; Q4’24: 28.0%)</w:t>
      </w:r>
      <w:r w:rsidRPr="00920EF8">
        <w:rPr>
          <w:rFonts w:ascii="Charter" w:hAnsi="Charter"/>
          <w:szCs w:val="20"/>
        </w:rPr>
        <w:t xml:space="preserve"> </w:t>
      </w:r>
    </w:p>
    <w:p w14:paraId="016D8BD7" w14:textId="77777777" w:rsidR="003B5831" w:rsidRPr="00920EF8" w:rsidRDefault="003B5831" w:rsidP="003B5831">
      <w:pPr>
        <w:numPr>
          <w:ilvl w:val="5"/>
          <w:numId w:val="1"/>
        </w:numPr>
        <w:spacing w:after="50" w:line="246" w:lineRule="atLeast"/>
        <w:ind w:left="1417" w:hanging="357"/>
        <w:jc w:val="both"/>
        <w:rPr>
          <w:rFonts w:ascii="Charter" w:hAnsi="Charter"/>
          <w:szCs w:val="20"/>
        </w:rPr>
      </w:pPr>
      <w:r w:rsidRPr="00920EF8">
        <w:rPr>
          <w:rFonts w:ascii="Charter" w:hAnsi="Charter"/>
          <w:szCs w:val="20"/>
        </w:rPr>
        <w:t>Cash receipts of £</w:t>
      </w:r>
      <w:r>
        <w:rPr>
          <w:rFonts w:ascii="Charter" w:hAnsi="Charter"/>
          <w:szCs w:val="20"/>
        </w:rPr>
        <w:t>787.6</w:t>
      </w:r>
      <w:r w:rsidRPr="00920EF8">
        <w:rPr>
          <w:rFonts w:ascii="Charter" w:hAnsi="Charter"/>
          <w:szCs w:val="20"/>
        </w:rPr>
        <w:t>m (Q1‘24: £653.8m; Q4‘24: £723.9m) as redemptions remained strong</w:t>
      </w:r>
    </w:p>
    <w:tbl>
      <w:tblPr>
        <w:tblW w:w="9027" w:type="dxa"/>
        <w:tblLayout w:type="fixed"/>
        <w:tblLook w:val="04A0" w:firstRow="1" w:lastRow="0" w:firstColumn="1" w:lastColumn="0" w:noHBand="0" w:noVBand="1"/>
      </w:tblPr>
      <w:tblGrid>
        <w:gridCol w:w="2608"/>
        <w:gridCol w:w="563"/>
        <w:gridCol w:w="876"/>
        <w:gridCol w:w="236"/>
        <w:gridCol w:w="1479"/>
        <w:gridCol w:w="266"/>
        <w:gridCol w:w="1485"/>
        <w:gridCol w:w="1514"/>
      </w:tblGrid>
      <w:tr w:rsidR="003B5831" w:rsidRPr="00B85E08" w14:paraId="72E756FE" w14:textId="77777777" w:rsidTr="001A235F">
        <w:trPr>
          <w:trHeight w:val="68"/>
        </w:trPr>
        <w:tc>
          <w:tcPr>
            <w:tcW w:w="3171" w:type="dxa"/>
            <w:gridSpan w:val="2"/>
            <w:tcBorders>
              <w:top w:val="nil"/>
              <w:left w:val="nil"/>
              <w:bottom w:val="nil"/>
              <w:right w:val="nil"/>
            </w:tcBorders>
            <w:shd w:val="clear" w:color="auto" w:fill="auto"/>
            <w:noWrap/>
            <w:vAlign w:val="bottom"/>
          </w:tcPr>
          <w:p w14:paraId="166670E2" w14:textId="77777777" w:rsidR="003B5831" w:rsidRPr="00E06B8A" w:rsidRDefault="003B5831" w:rsidP="001A235F">
            <w:pPr>
              <w:rPr>
                <w:rFonts w:ascii="Charter" w:eastAsia="Times New Roman" w:hAnsi="Charter" w:cs="Calibri"/>
                <w:b/>
                <w:bCs/>
                <w:color w:val="000000"/>
                <w:szCs w:val="20"/>
                <w:lang w:eastAsia="en-GB"/>
              </w:rPr>
            </w:pPr>
          </w:p>
        </w:tc>
        <w:tc>
          <w:tcPr>
            <w:tcW w:w="876" w:type="dxa"/>
            <w:tcBorders>
              <w:top w:val="nil"/>
              <w:left w:val="nil"/>
              <w:bottom w:val="nil"/>
              <w:right w:val="nil"/>
            </w:tcBorders>
            <w:shd w:val="clear" w:color="auto" w:fill="auto"/>
            <w:noWrap/>
            <w:vAlign w:val="bottom"/>
          </w:tcPr>
          <w:p w14:paraId="73053DC1" w14:textId="77777777" w:rsidR="003B5831" w:rsidRPr="00E06B8A" w:rsidRDefault="003B5831" w:rsidP="001A235F">
            <w:pPr>
              <w:rPr>
                <w:rFonts w:ascii="Charter" w:eastAsia="Times New Roman" w:hAnsi="Charter" w:cs="Calibri"/>
                <w:b/>
                <w:bCs/>
                <w:color w:val="000000"/>
                <w:szCs w:val="20"/>
                <w:lang w:eastAsia="en-GB"/>
              </w:rPr>
            </w:pPr>
          </w:p>
        </w:tc>
        <w:tc>
          <w:tcPr>
            <w:tcW w:w="236" w:type="dxa"/>
            <w:tcBorders>
              <w:top w:val="nil"/>
              <w:left w:val="nil"/>
              <w:bottom w:val="nil"/>
              <w:right w:val="nil"/>
            </w:tcBorders>
            <w:shd w:val="clear" w:color="auto" w:fill="auto"/>
            <w:noWrap/>
            <w:vAlign w:val="bottom"/>
          </w:tcPr>
          <w:p w14:paraId="2B1F0309" w14:textId="77777777" w:rsidR="003B5831" w:rsidRPr="00E06B8A" w:rsidRDefault="003B5831" w:rsidP="001A235F">
            <w:pPr>
              <w:rPr>
                <w:rFonts w:ascii="Charter" w:eastAsia="Times New Roman" w:hAnsi="Charter" w:cs="Calibri"/>
                <w:b/>
                <w:bCs/>
                <w:color w:val="000000"/>
                <w:szCs w:val="20"/>
                <w:lang w:eastAsia="en-GB"/>
              </w:rPr>
            </w:pPr>
          </w:p>
        </w:tc>
        <w:tc>
          <w:tcPr>
            <w:tcW w:w="3230" w:type="dxa"/>
            <w:gridSpan w:val="3"/>
            <w:vMerge w:val="restart"/>
            <w:tcBorders>
              <w:top w:val="nil"/>
              <w:left w:val="nil"/>
              <w:right w:val="nil"/>
            </w:tcBorders>
            <w:shd w:val="clear" w:color="auto" w:fill="auto"/>
            <w:noWrap/>
            <w:vAlign w:val="center"/>
          </w:tcPr>
          <w:p w14:paraId="5FC435BA" w14:textId="77777777" w:rsidR="003B5831" w:rsidRPr="00E06B8A" w:rsidRDefault="003B5831" w:rsidP="001A235F">
            <w:pPr>
              <w:jc w:val="right"/>
              <w:rPr>
                <w:rFonts w:ascii="Charter" w:eastAsia="Times New Roman" w:hAnsi="Charter" w:cs="Calibri"/>
                <w:b/>
                <w:bCs/>
                <w:color w:val="000000"/>
                <w:szCs w:val="20"/>
                <w:lang w:eastAsia="en-GB"/>
              </w:rPr>
            </w:pPr>
            <w:r w:rsidRPr="00E06B8A">
              <w:rPr>
                <w:rFonts w:ascii="Charter" w:eastAsia="Times New Roman" w:hAnsi="Charter" w:cs="Calibri"/>
                <w:b/>
                <w:bCs/>
                <w:color w:val="000000"/>
                <w:szCs w:val="20"/>
                <w:lang w:eastAsia="en-GB"/>
              </w:rPr>
              <w:t xml:space="preserve">3 months ended or as at </w:t>
            </w:r>
          </w:p>
          <w:p w14:paraId="054E0906" w14:textId="77777777" w:rsidR="003B5831" w:rsidRPr="00E06B8A" w:rsidRDefault="003B5831" w:rsidP="001A235F">
            <w:pPr>
              <w:jc w:val="right"/>
              <w:rPr>
                <w:rFonts w:ascii="Charter" w:eastAsia="Times New Roman" w:hAnsi="Charter" w:cs="Calibri"/>
                <w:b/>
                <w:bCs/>
                <w:color w:val="000000"/>
                <w:szCs w:val="20"/>
                <w:lang w:eastAsia="en-GB"/>
              </w:rPr>
            </w:pPr>
            <w:r w:rsidRPr="00E06B8A">
              <w:rPr>
                <w:rFonts w:ascii="Charter" w:eastAsia="Times New Roman" w:hAnsi="Charter" w:cs="Calibri"/>
                <w:b/>
                <w:bCs/>
                <w:color w:val="000000"/>
                <w:szCs w:val="20"/>
                <w:lang w:eastAsia="en-GB"/>
              </w:rPr>
              <w:t>September 30</w:t>
            </w:r>
          </w:p>
        </w:tc>
        <w:tc>
          <w:tcPr>
            <w:tcW w:w="1514" w:type="dxa"/>
            <w:tcBorders>
              <w:top w:val="nil"/>
              <w:left w:val="nil"/>
              <w:bottom w:val="nil"/>
              <w:right w:val="nil"/>
            </w:tcBorders>
            <w:shd w:val="clear" w:color="auto" w:fill="auto"/>
            <w:noWrap/>
            <w:vAlign w:val="center"/>
          </w:tcPr>
          <w:p w14:paraId="1DBCE69A" w14:textId="77777777" w:rsidR="003B5831" w:rsidRPr="00E06B8A" w:rsidRDefault="003B5831" w:rsidP="001A235F">
            <w:pPr>
              <w:jc w:val="right"/>
              <w:rPr>
                <w:rFonts w:ascii="Charter" w:eastAsia="Times New Roman" w:hAnsi="Charter" w:cs="Calibri"/>
                <w:b/>
                <w:bCs/>
                <w:color w:val="000000"/>
                <w:szCs w:val="20"/>
                <w:lang w:eastAsia="en-GB"/>
              </w:rPr>
            </w:pPr>
            <w:r w:rsidRPr="00E06B8A">
              <w:rPr>
                <w:rFonts w:ascii="Charter" w:eastAsia="Times New Roman" w:hAnsi="Charter" w:cs="Calibri"/>
                <w:b/>
                <w:bCs/>
                <w:color w:val="000000"/>
                <w:szCs w:val="20"/>
                <w:lang w:eastAsia="en-GB"/>
              </w:rPr>
              <w:t>3 months ended or as at June 30</w:t>
            </w:r>
          </w:p>
        </w:tc>
      </w:tr>
      <w:tr w:rsidR="003B5831" w:rsidRPr="00B85E08" w14:paraId="6A42BA67" w14:textId="77777777" w:rsidTr="001A235F">
        <w:trPr>
          <w:trHeight w:val="68"/>
        </w:trPr>
        <w:tc>
          <w:tcPr>
            <w:tcW w:w="3171" w:type="dxa"/>
            <w:gridSpan w:val="2"/>
            <w:tcBorders>
              <w:top w:val="nil"/>
              <w:left w:val="nil"/>
              <w:bottom w:val="nil"/>
              <w:right w:val="nil"/>
            </w:tcBorders>
            <w:shd w:val="clear" w:color="auto" w:fill="auto"/>
            <w:noWrap/>
            <w:vAlign w:val="bottom"/>
          </w:tcPr>
          <w:p w14:paraId="30013F31" w14:textId="77777777" w:rsidR="003B5831" w:rsidRPr="00E06B8A" w:rsidRDefault="003B5831" w:rsidP="001A235F">
            <w:pPr>
              <w:rPr>
                <w:rFonts w:ascii="Charter" w:eastAsia="Times New Roman" w:hAnsi="Charter" w:cs="Calibri"/>
                <w:b/>
                <w:bCs/>
                <w:color w:val="000000"/>
                <w:szCs w:val="20"/>
                <w:lang w:eastAsia="en-GB"/>
              </w:rPr>
            </w:pPr>
            <w:bookmarkStart w:id="0" w:name="_Hlk183024682"/>
          </w:p>
        </w:tc>
        <w:tc>
          <w:tcPr>
            <w:tcW w:w="876" w:type="dxa"/>
            <w:tcBorders>
              <w:top w:val="nil"/>
              <w:left w:val="nil"/>
              <w:bottom w:val="nil"/>
              <w:right w:val="nil"/>
            </w:tcBorders>
            <w:shd w:val="clear" w:color="auto" w:fill="auto"/>
            <w:noWrap/>
            <w:vAlign w:val="bottom"/>
          </w:tcPr>
          <w:p w14:paraId="3AE20A73" w14:textId="77777777" w:rsidR="003B5831" w:rsidRPr="00E06B8A" w:rsidRDefault="003B5831" w:rsidP="001A235F">
            <w:pPr>
              <w:rPr>
                <w:rFonts w:ascii="Charter" w:eastAsia="Times New Roman" w:hAnsi="Charter" w:cs="Calibri"/>
                <w:b/>
                <w:bCs/>
                <w:color w:val="000000"/>
                <w:szCs w:val="20"/>
                <w:lang w:eastAsia="en-GB"/>
              </w:rPr>
            </w:pPr>
          </w:p>
        </w:tc>
        <w:tc>
          <w:tcPr>
            <w:tcW w:w="236" w:type="dxa"/>
            <w:tcBorders>
              <w:top w:val="nil"/>
              <w:left w:val="nil"/>
              <w:bottom w:val="nil"/>
              <w:right w:val="nil"/>
            </w:tcBorders>
            <w:shd w:val="clear" w:color="auto" w:fill="auto"/>
            <w:noWrap/>
            <w:vAlign w:val="bottom"/>
          </w:tcPr>
          <w:p w14:paraId="0CB7BAD7" w14:textId="77777777" w:rsidR="003B5831" w:rsidRPr="00E06B8A" w:rsidRDefault="003B5831" w:rsidP="001A235F">
            <w:pPr>
              <w:rPr>
                <w:rFonts w:ascii="Charter" w:eastAsia="Times New Roman" w:hAnsi="Charter" w:cs="Calibri"/>
                <w:b/>
                <w:bCs/>
                <w:color w:val="000000"/>
                <w:szCs w:val="20"/>
                <w:lang w:eastAsia="en-GB"/>
              </w:rPr>
            </w:pPr>
          </w:p>
        </w:tc>
        <w:tc>
          <w:tcPr>
            <w:tcW w:w="3230" w:type="dxa"/>
            <w:gridSpan w:val="3"/>
            <w:vMerge/>
            <w:tcBorders>
              <w:left w:val="nil"/>
              <w:bottom w:val="nil"/>
              <w:right w:val="nil"/>
            </w:tcBorders>
            <w:shd w:val="clear" w:color="auto" w:fill="auto"/>
            <w:noWrap/>
            <w:vAlign w:val="bottom"/>
          </w:tcPr>
          <w:p w14:paraId="7F879481" w14:textId="77777777" w:rsidR="003B5831" w:rsidRPr="00E06B8A" w:rsidRDefault="003B5831" w:rsidP="001A235F">
            <w:pPr>
              <w:jc w:val="right"/>
              <w:rPr>
                <w:rFonts w:ascii="Charter" w:eastAsia="Times New Roman" w:hAnsi="Charter" w:cs="Calibri"/>
                <w:b/>
                <w:bCs/>
                <w:color w:val="000000"/>
                <w:szCs w:val="20"/>
                <w:lang w:eastAsia="en-GB"/>
              </w:rPr>
            </w:pPr>
          </w:p>
        </w:tc>
        <w:tc>
          <w:tcPr>
            <w:tcW w:w="1514" w:type="dxa"/>
            <w:tcBorders>
              <w:top w:val="nil"/>
              <w:left w:val="nil"/>
              <w:bottom w:val="nil"/>
              <w:right w:val="nil"/>
            </w:tcBorders>
            <w:shd w:val="clear" w:color="auto" w:fill="auto"/>
            <w:noWrap/>
            <w:vAlign w:val="bottom"/>
          </w:tcPr>
          <w:p w14:paraId="0F59273B" w14:textId="77777777" w:rsidR="003B5831" w:rsidRPr="00E06B8A" w:rsidRDefault="003B5831" w:rsidP="001A235F">
            <w:pPr>
              <w:rPr>
                <w:rFonts w:ascii="Charter" w:eastAsia="Times New Roman" w:hAnsi="Charter" w:cs="Calibri"/>
                <w:b/>
                <w:bCs/>
                <w:color w:val="000000"/>
                <w:szCs w:val="20"/>
                <w:lang w:eastAsia="en-GB"/>
              </w:rPr>
            </w:pPr>
          </w:p>
        </w:tc>
      </w:tr>
      <w:bookmarkEnd w:id="0"/>
      <w:tr w:rsidR="003B5831" w:rsidRPr="00B85E08" w14:paraId="4FB9A029" w14:textId="77777777" w:rsidTr="003B5831">
        <w:trPr>
          <w:trHeight w:val="49"/>
        </w:trPr>
        <w:tc>
          <w:tcPr>
            <w:tcW w:w="3171" w:type="dxa"/>
            <w:gridSpan w:val="2"/>
            <w:tcBorders>
              <w:top w:val="nil"/>
              <w:left w:val="nil"/>
              <w:bottom w:val="nil"/>
              <w:right w:val="nil"/>
            </w:tcBorders>
            <w:shd w:val="clear" w:color="auto" w:fill="auto"/>
            <w:noWrap/>
            <w:vAlign w:val="bottom"/>
          </w:tcPr>
          <w:p w14:paraId="46883305" w14:textId="77777777" w:rsidR="003B5831" w:rsidRPr="00E06B8A" w:rsidRDefault="003B5831" w:rsidP="001A235F">
            <w:pPr>
              <w:rPr>
                <w:rFonts w:ascii="Charter" w:eastAsia="Times New Roman" w:hAnsi="Charter" w:cs="Calibri"/>
                <w:b/>
                <w:bCs/>
                <w:color w:val="000000"/>
                <w:szCs w:val="20"/>
                <w:lang w:eastAsia="en-GB"/>
              </w:rPr>
            </w:pPr>
          </w:p>
        </w:tc>
        <w:tc>
          <w:tcPr>
            <w:tcW w:w="876" w:type="dxa"/>
            <w:tcBorders>
              <w:top w:val="nil"/>
              <w:left w:val="nil"/>
              <w:bottom w:val="nil"/>
              <w:right w:val="nil"/>
            </w:tcBorders>
            <w:shd w:val="clear" w:color="auto" w:fill="auto"/>
            <w:noWrap/>
            <w:vAlign w:val="bottom"/>
          </w:tcPr>
          <w:p w14:paraId="721A1903" w14:textId="77777777" w:rsidR="003B5831" w:rsidRPr="00E06B8A" w:rsidRDefault="003B5831" w:rsidP="001A235F">
            <w:pPr>
              <w:rPr>
                <w:rFonts w:ascii="Charter" w:eastAsia="Times New Roman" w:hAnsi="Charter" w:cs="Calibri"/>
                <w:b/>
                <w:bCs/>
                <w:color w:val="000000"/>
                <w:szCs w:val="20"/>
                <w:lang w:eastAsia="en-GB"/>
              </w:rPr>
            </w:pPr>
          </w:p>
        </w:tc>
        <w:tc>
          <w:tcPr>
            <w:tcW w:w="236" w:type="dxa"/>
            <w:tcBorders>
              <w:top w:val="nil"/>
              <w:left w:val="nil"/>
              <w:bottom w:val="nil"/>
              <w:right w:val="nil"/>
            </w:tcBorders>
            <w:shd w:val="clear" w:color="auto" w:fill="auto"/>
            <w:noWrap/>
            <w:vAlign w:val="bottom"/>
          </w:tcPr>
          <w:p w14:paraId="6E3E6BE4" w14:textId="77777777" w:rsidR="003B5831" w:rsidRPr="00E06B8A" w:rsidRDefault="003B5831" w:rsidP="001A235F">
            <w:pPr>
              <w:rPr>
                <w:rFonts w:ascii="Charter" w:eastAsia="Times New Roman" w:hAnsi="Charter" w:cs="Calibri"/>
                <w:b/>
                <w:bCs/>
                <w:color w:val="000000"/>
                <w:szCs w:val="20"/>
                <w:lang w:eastAsia="en-GB"/>
              </w:rPr>
            </w:pPr>
          </w:p>
        </w:tc>
        <w:tc>
          <w:tcPr>
            <w:tcW w:w="3230" w:type="dxa"/>
            <w:gridSpan w:val="3"/>
            <w:vMerge/>
            <w:tcBorders>
              <w:left w:val="nil"/>
              <w:bottom w:val="nil"/>
              <w:right w:val="nil"/>
            </w:tcBorders>
            <w:shd w:val="clear" w:color="auto" w:fill="auto"/>
            <w:noWrap/>
            <w:vAlign w:val="bottom"/>
          </w:tcPr>
          <w:p w14:paraId="6BBE07EE" w14:textId="77777777" w:rsidR="003B5831" w:rsidRPr="00E06B8A" w:rsidRDefault="003B5831" w:rsidP="001A235F">
            <w:pPr>
              <w:jc w:val="right"/>
              <w:rPr>
                <w:rFonts w:ascii="Charter" w:eastAsia="Times New Roman" w:hAnsi="Charter" w:cs="Calibri"/>
                <w:b/>
                <w:bCs/>
                <w:color w:val="000000"/>
                <w:szCs w:val="20"/>
                <w:lang w:eastAsia="en-GB"/>
              </w:rPr>
            </w:pPr>
          </w:p>
        </w:tc>
        <w:tc>
          <w:tcPr>
            <w:tcW w:w="1514" w:type="dxa"/>
            <w:tcBorders>
              <w:top w:val="nil"/>
              <w:left w:val="nil"/>
              <w:bottom w:val="nil"/>
              <w:right w:val="nil"/>
            </w:tcBorders>
            <w:shd w:val="clear" w:color="auto" w:fill="auto"/>
            <w:noWrap/>
            <w:vAlign w:val="bottom"/>
          </w:tcPr>
          <w:p w14:paraId="74432A45" w14:textId="77777777" w:rsidR="003B5831" w:rsidRPr="00E06B8A" w:rsidRDefault="003B5831" w:rsidP="001A235F">
            <w:pPr>
              <w:rPr>
                <w:rFonts w:ascii="Charter" w:eastAsia="Times New Roman" w:hAnsi="Charter" w:cs="Calibri"/>
                <w:b/>
                <w:bCs/>
                <w:color w:val="000000"/>
                <w:szCs w:val="20"/>
                <w:lang w:eastAsia="en-GB"/>
              </w:rPr>
            </w:pPr>
          </w:p>
        </w:tc>
      </w:tr>
      <w:tr w:rsidR="003B5831" w:rsidRPr="00B85E08" w14:paraId="5B85A324" w14:textId="77777777" w:rsidTr="001A235F">
        <w:trPr>
          <w:trHeight w:val="68"/>
        </w:trPr>
        <w:tc>
          <w:tcPr>
            <w:tcW w:w="3171" w:type="dxa"/>
            <w:gridSpan w:val="2"/>
            <w:tcBorders>
              <w:top w:val="nil"/>
              <w:left w:val="nil"/>
              <w:bottom w:val="nil"/>
              <w:right w:val="nil"/>
            </w:tcBorders>
            <w:shd w:val="clear" w:color="auto" w:fill="auto"/>
            <w:noWrap/>
            <w:vAlign w:val="bottom"/>
            <w:hideMark/>
          </w:tcPr>
          <w:p w14:paraId="1F4231EB" w14:textId="77777777" w:rsidR="003B5831" w:rsidRPr="00E06B8A" w:rsidRDefault="003B5831" w:rsidP="001A235F">
            <w:pPr>
              <w:rPr>
                <w:rFonts w:ascii="Charter" w:eastAsia="Times New Roman" w:hAnsi="Charter" w:cs="Calibri"/>
                <w:b/>
                <w:bCs/>
                <w:color w:val="000000"/>
                <w:szCs w:val="20"/>
                <w:lang w:eastAsia="en-GB"/>
              </w:rPr>
            </w:pPr>
            <w:r w:rsidRPr="00E06B8A">
              <w:rPr>
                <w:rFonts w:ascii="Charter" w:eastAsia="Times New Roman" w:hAnsi="Charter" w:cs="Calibri"/>
                <w:b/>
                <w:bCs/>
                <w:color w:val="000000"/>
                <w:szCs w:val="20"/>
                <w:lang w:eastAsia="en-GB"/>
              </w:rPr>
              <w:t>Key metrics</w:t>
            </w:r>
          </w:p>
        </w:tc>
        <w:tc>
          <w:tcPr>
            <w:tcW w:w="876" w:type="dxa"/>
            <w:tcBorders>
              <w:top w:val="nil"/>
              <w:left w:val="nil"/>
              <w:bottom w:val="nil"/>
              <w:right w:val="nil"/>
            </w:tcBorders>
            <w:shd w:val="clear" w:color="auto" w:fill="auto"/>
            <w:noWrap/>
            <w:vAlign w:val="bottom"/>
            <w:hideMark/>
          </w:tcPr>
          <w:p w14:paraId="4981C2DC" w14:textId="77777777" w:rsidR="003B5831" w:rsidRPr="00E06B8A" w:rsidRDefault="003B5831" w:rsidP="001A235F">
            <w:pPr>
              <w:rPr>
                <w:rFonts w:ascii="Charter" w:eastAsia="Times New Roman" w:hAnsi="Charter" w:cs="Calibri"/>
                <w:b/>
                <w:bCs/>
                <w:color w:val="000000"/>
                <w:szCs w:val="20"/>
                <w:lang w:eastAsia="en-GB"/>
              </w:rPr>
            </w:pPr>
          </w:p>
        </w:tc>
        <w:tc>
          <w:tcPr>
            <w:tcW w:w="236" w:type="dxa"/>
            <w:tcBorders>
              <w:top w:val="nil"/>
              <w:left w:val="nil"/>
              <w:bottom w:val="nil"/>
              <w:right w:val="nil"/>
            </w:tcBorders>
            <w:shd w:val="clear" w:color="auto" w:fill="auto"/>
            <w:noWrap/>
            <w:vAlign w:val="bottom"/>
            <w:hideMark/>
          </w:tcPr>
          <w:p w14:paraId="121D5E7F" w14:textId="77777777" w:rsidR="003B5831" w:rsidRPr="00E06B8A" w:rsidRDefault="003B5831" w:rsidP="001A235F">
            <w:pPr>
              <w:rPr>
                <w:rFonts w:ascii="Charter" w:eastAsia="Times New Roman" w:hAnsi="Charter" w:cs="Calibri"/>
                <w:b/>
                <w:bCs/>
                <w:color w:val="000000"/>
                <w:szCs w:val="20"/>
                <w:lang w:eastAsia="en-GB"/>
              </w:rPr>
            </w:pPr>
          </w:p>
        </w:tc>
        <w:tc>
          <w:tcPr>
            <w:tcW w:w="1479" w:type="dxa"/>
            <w:tcBorders>
              <w:top w:val="nil"/>
              <w:left w:val="nil"/>
              <w:bottom w:val="nil"/>
              <w:right w:val="nil"/>
            </w:tcBorders>
            <w:shd w:val="clear" w:color="auto" w:fill="auto"/>
            <w:noWrap/>
            <w:vAlign w:val="bottom"/>
            <w:hideMark/>
          </w:tcPr>
          <w:p w14:paraId="0BBEE92F" w14:textId="77777777" w:rsidR="003B5831" w:rsidRPr="00E06B8A" w:rsidRDefault="003B5831" w:rsidP="001A235F">
            <w:pPr>
              <w:jc w:val="right"/>
              <w:rPr>
                <w:rFonts w:ascii="Charter" w:eastAsia="Times New Roman" w:hAnsi="Charter" w:cs="Calibri"/>
                <w:b/>
                <w:bCs/>
                <w:color w:val="000000"/>
                <w:szCs w:val="20"/>
                <w:lang w:eastAsia="en-GB"/>
              </w:rPr>
            </w:pPr>
            <w:r w:rsidRPr="00E06B8A">
              <w:rPr>
                <w:rFonts w:ascii="Charter" w:eastAsia="Times New Roman" w:hAnsi="Charter" w:cs="Calibri"/>
                <w:b/>
                <w:bCs/>
                <w:color w:val="000000"/>
                <w:szCs w:val="20"/>
                <w:lang w:eastAsia="en-GB"/>
              </w:rPr>
              <w:t>2024</w:t>
            </w:r>
          </w:p>
        </w:tc>
        <w:tc>
          <w:tcPr>
            <w:tcW w:w="266" w:type="dxa"/>
            <w:tcBorders>
              <w:top w:val="nil"/>
              <w:left w:val="nil"/>
              <w:bottom w:val="nil"/>
              <w:right w:val="nil"/>
            </w:tcBorders>
            <w:shd w:val="clear" w:color="auto" w:fill="auto"/>
            <w:noWrap/>
            <w:vAlign w:val="bottom"/>
            <w:hideMark/>
          </w:tcPr>
          <w:p w14:paraId="360468A5" w14:textId="77777777" w:rsidR="003B5831" w:rsidRPr="00E06B8A" w:rsidRDefault="003B5831" w:rsidP="001A235F">
            <w:pPr>
              <w:jc w:val="right"/>
              <w:rPr>
                <w:rFonts w:ascii="Charter" w:eastAsia="Times New Roman" w:hAnsi="Charter" w:cs="Calibri"/>
                <w:b/>
                <w:bCs/>
                <w:color w:val="000000"/>
                <w:szCs w:val="20"/>
                <w:lang w:eastAsia="en-GB"/>
              </w:rPr>
            </w:pPr>
          </w:p>
        </w:tc>
        <w:tc>
          <w:tcPr>
            <w:tcW w:w="1485" w:type="dxa"/>
            <w:tcBorders>
              <w:top w:val="nil"/>
              <w:left w:val="nil"/>
              <w:bottom w:val="nil"/>
              <w:right w:val="nil"/>
            </w:tcBorders>
            <w:vAlign w:val="bottom"/>
          </w:tcPr>
          <w:p w14:paraId="622F6119" w14:textId="77777777" w:rsidR="003B5831" w:rsidRPr="00E06B8A" w:rsidRDefault="003B5831" w:rsidP="001A235F">
            <w:pPr>
              <w:jc w:val="right"/>
              <w:rPr>
                <w:rFonts w:ascii="Charter" w:eastAsia="Times New Roman" w:hAnsi="Charter" w:cs="Calibri"/>
                <w:b/>
                <w:bCs/>
                <w:color w:val="000000"/>
                <w:szCs w:val="20"/>
                <w:lang w:eastAsia="en-GB"/>
              </w:rPr>
            </w:pPr>
            <w:r w:rsidRPr="00E06B8A">
              <w:rPr>
                <w:rFonts w:ascii="Charter" w:eastAsia="Times New Roman" w:hAnsi="Charter" w:cs="Calibri"/>
                <w:b/>
                <w:bCs/>
                <w:color w:val="000000"/>
                <w:szCs w:val="20"/>
                <w:lang w:eastAsia="en-GB"/>
              </w:rPr>
              <w:t>2023</w:t>
            </w:r>
          </w:p>
        </w:tc>
        <w:tc>
          <w:tcPr>
            <w:tcW w:w="1514" w:type="dxa"/>
            <w:tcBorders>
              <w:top w:val="nil"/>
              <w:left w:val="nil"/>
              <w:bottom w:val="nil"/>
              <w:right w:val="nil"/>
            </w:tcBorders>
            <w:shd w:val="clear" w:color="auto" w:fill="auto"/>
            <w:noWrap/>
            <w:vAlign w:val="bottom"/>
            <w:hideMark/>
          </w:tcPr>
          <w:p w14:paraId="4EACF025" w14:textId="77777777" w:rsidR="003B5831" w:rsidRPr="00E06B8A" w:rsidRDefault="003B5831" w:rsidP="001A235F">
            <w:pPr>
              <w:jc w:val="right"/>
              <w:rPr>
                <w:rFonts w:ascii="Charter" w:eastAsia="Times New Roman" w:hAnsi="Charter" w:cs="Calibri"/>
                <w:b/>
                <w:bCs/>
                <w:color w:val="000000"/>
                <w:szCs w:val="20"/>
                <w:lang w:eastAsia="en-GB"/>
              </w:rPr>
            </w:pPr>
            <w:r w:rsidRPr="00E06B8A">
              <w:rPr>
                <w:rFonts w:ascii="Charter" w:eastAsia="Times New Roman" w:hAnsi="Charter" w:cs="Calibri"/>
                <w:b/>
                <w:bCs/>
                <w:color w:val="000000"/>
                <w:szCs w:val="20"/>
                <w:lang w:eastAsia="en-GB"/>
              </w:rPr>
              <w:t xml:space="preserve"> 2024</w:t>
            </w:r>
          </w:p>
        </w:tc>
      </w:tr>
      <w:tr w:rsidR="003B5831" w:rsidRPr="00BE3C8B" w14:paraId="5A72E131" w14:textId="77777777" w:rsidTr="001A235F">
        <w:trPr>
          <w:trHeight w:val="294"/>
        </w:trPr>
        <w:tc>
          <w:tcPr>
            <w:tcW w:w="3171" w:type="dxa"/>
            <w:gridSpan w:val="2"/>
            <w:tcBorders>
              <w:top w:val="nil"/>
              <w:left w:val="nil"/>
              <w:bottom w:val="nil"/>
              <w:right w:val="nil"/>
            </w:tcBorders>
            <w:shd w:val="clear" w:color="auto" w:fill="auto"/>
            <w:noWrap/>
            <w:vAlign w:val="bottom"/>
            <w:hideMark/>
          </w:tcPr>
          <w:p w14:paraId="30D084E7" w14:textId="77777777" w:rsidR="003B5831" w:rsidRPr="00BE3C8B" w:rsidRDefault="003B5831" w:rsidP="001A235F">
            <w:pPr>
              <w:jc w:val="right"/>
              <w:rPr>
                <w:rFonts w:ascii="Charter" w:eastAsia="Times New Roman" w:hAnsi="Charter" w:cs="Calibri"/>
                <w:color w:val="000000"/>
                <w:szCs w:val="20"/>
                <w:lang w:eastAsia="en-GB"/>
              </w:rPr>
            </w:pPr>
          </w:p>
        </w:tc>
        <w:tc>
          <w:tcPr>
            <w:tcW w:w="876" w:type="dxa"/>
            <w:tcBorders>
              <w:top w:val="nil"/>
              <w:left w:val="nil"/>
              <w:bottom w:val="nil"/>
              <w:right w:val="nil"/>
            </w:tcBorders>
            <w:shd w:val="clear" w:color="auto" w:fill="auto"/>
            <w:noWrap/>
            <w:vAlign w:val="bottom"/>
            <w:hideMark/>
          </w:tcPr>
          <w:p w14:paraId="4A87702D"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48E75B85"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6EAEC9BE" w14:textId="77777777" w:rsidR="003B5831" w:rsidRPr="00BE3C8B" w:rsidRDefault="003B5831" w:rsidP="001A235F">
            <w:pPr>
              <w:rPr>
                <w:rFonts w:ascii="Charter" w:eastAsia="Times New Roman" w:hAnsi="Charter" w:cs="Calibri"/>
                <w:color w:val="000000"/>
                <w:szCs w:val="20"/>
                <w:lang w:eastAsia="en-GB"/>
              </w:rPr>
            </w:pPr>
          </w:p>
        </w:tc>
        <w:tc>
          <w:tcPr>
            <w:tcW w:w="266" w:type="dxa"/>
            <w:tcBorders>
              <w:top w:val="nil"/>
              <w:left w:val="nil"/>
              <w:bottom w:val="nil"/>
              <w:right w:val="nil"/>
            </w:tcBorders>
            <w:shd w:val="clear" w:color="auto" w:fill="auto"/>
            <w:noWrap/>
            <w:vAlign w:val="bottom"/>
            <w:hideMark/>
          </w:tcPr>
          <w:p w14:paraId="427E625A" w14:textId="77777777" w:rsidR="003B5831" w:rsidRPr="00BE3C8B" w:rsidRDefault="003B5831" w:rsidP="001A235F">
            <w:pPr>
              <w:rPr>
                <w:rFonts w:ascii="Charter" w:eastAsia="Times New Roman" w:hAnsi="Charter" w:cs="Calibri"/>
                <w:color w:val="000000"/>
                <w:szCs w:val="20"/>
                <w:lang w:eastAsia="en-GB"/>
              </w:rPr>
            </w:pPr>
          </w:p>
        </w:tc>
        <w:tc>
          <w:tcPr>
            <w:tcW w:w="1485" w:type="dxa"/>
            <w:tcBorders>
              <w:top w:val="nil"/>
              <w:left w:val="nil"/>
              <w:bottom w:val="nil"/>
              <w:right w:val="nil"/>
            </w:tcBorders>
          </w:tcPr>
          <w:p w14:paraId="058FF8EE" w14:textId="77777777" w:rsidR="003B5831" w:rsidRPr="00BE3C8B" w:rsidRDefault="003B5831" w:rsidP="001A235F">
            <w:pPr>
              <w:rPr>
                <w:rFonts w:ascii="Charter" w:eastAsia="Times New Roman" w:hAnsi="Charter" w:cs="Calibri"/>
                <w:color w:val="000000"/>
                <w:szCs w:val="20"/>
                <w:lang w:eastAsia="en-GB"/>
              </w:rPr>
            </w:pPr>
          </w:p>
        </w:tc>
        <w:tc>
          <w:tcPr>
            <w:tcW w:w="1514" w:type="dxa"/>
            <w:tcBorders>
              <w:top w:val="nil"/>
              <w:left w:val="nil"/>
              <w:bottom w:val="nil"/>
              <w:right w:val="nil"/>
            </w:tcBorders>
            <w:shd w:val="clear" w:color="auto" w:fill="auto"/>
            <w:noWrap/>
            <w:vAlign w:val="bottom"/>
            <w:hideMark/>
          </w:tcPr>
          <w:p w14:paraId="7F4D7AF4" w14:textId="77777777" w:rsidR="003B5831" w:rsidRPr="00BE3C8B" w:rsidRDefault="003B5831" w:rsidP="001A235F">
            <w:pPr>
              <w:rPr>
                <w:rFonts w:ascii="Charter" w:eastAsia="Times New Roman" w:hAnsi="Charter" w:cs="Calibri"/>
                <w:color w:val="000000"/>
                <w:szCs w:val="20"/>
                <w:lang w:eastAsia="en-GB"/>
              </w:rPr>
            </w:pPr>
          </w:p>
        </w:tc>
      </w:tr>
      <w:tr w:rsidR="003B5831" w:rsidRPr="00BE3C8B" w14:paraId="451954F9" w14:textId="77777777" w:rsidTr="001A235F">
        <w:trPr>
          <w:trHeight w:val="269"/>
        </w:trPr>
        <w:tc>
          <w:tcPr>
            <w:tcW w:w="4047" w:type="dxa"/>
            <w:gridSpan w:val="3"/>
            <w:tcBorders>
              <w:top w:val="nil"/>
              <w:left w:val="nil"/>
              <w:bottom w:val="nil"/>
              <w:right w:val="nil"/>
            </w:tcBorders>
            <w:shd w:val="clear" w:color="auto" w:fill="auto"/>
            <w:noWrap/>
            <w:vAlign w:val="bottom"/>
            <w:hideMark/>
          </w:tcPr>
          <w:p w14:paraId="04360D11"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Interest receivable and similar income (£m)</w:t>
            </w:r>
          </w:p>
        </w:tc>
        <w:tc>
          <w:tcPr>
            <w:tcW w:w="236" w:type="dxa"/>
            <w:tcBorders>
              <w:top w:val="nil"/>
              <w:left w:val="nil"/>
              <w:bottom w:val="nil"/>
              <w:right w:val="nil"/>
            </w:tcBorders>
            <w:shd w:val="clear" w:color="auto" w:fill="auto"/>
            <w:noWrap/>
            <w:vAlign w:val="bottom"/>
            <w:hideMark/>
          </w:tcPr>
          <w:p w14:paraId="289FE6BF"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1963EF40"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214.5</w:t>
            </w:r>
          </w:p>
        </w:tc>
        <w:tc>
          <w:tcPr>
            <w:tcW w:w="266" w:type="dxa"/>
            <w:tcBorders>
              <w:top w:val="nil"/>
              <w:left w:val="nil"/>
              <w:bottom w:val="nil"/>
              <w:right w:val="nil"/>
            </w:tcBorders>
            <w:shd w:val="clear" w:color="auto" w:fill="auto"/>
            <w:noWrap/>
            <w:vAlign w:val="bottom"/>
          </w:tcPr>
          <w:p w14:paraId="29DE3721"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4CF5AE66"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182.9</w:t>
            </w:r>
          </w:p>
        </w:tc>
        <w:tc>
          <w:tcPr>
            <w:tcW w:w="1514" w:type="dxa"/>
            <w:tcBorders>
              <w:top w:val="nil"/>
              <w:left w:val="nil"/>
              <w:bottom w:val="nil"/>
              <w:right w:val="nil"/>
            </w:tcBorders>
            <w:shd w:val="clear" w:color="auto" w:fill="auto"/>
            <w:noWrap/>
            <w:vAlign w:val="bottom"/>
            <w:hideMark/>
          </w:tcPr>
          <w:p w14:paraId="08306EDA"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206.9</w:t>
            </w:r>
          </w:p>
        </w:tc>
      </w:tr>
      <w:tr w:rsidR="003B5831" w:rsidRPr="00BE3C8B" w14:paraId="6B04BE93" w14:textId="77777777" w:rsidTr="001A235F">
        <w:trPr>
          <w:trHeight w:val="270"/>
        </w:trPr>
        <w:tc>
          <w:tcPr>
            <w:tcW w:w="4047" w:type="dxa"/>
            <w:gridSpan w:val="3"/>
            <w:tcBorders>
              <w:top w:val="nil"/>
              <w:left w:val="nil"/>
              <w:bottom w:val="nil"/>
              <w:right w:val="nil"/>
            </w:tcBorders>
            <w:shd w:val="clear" w:color="auto" w:fill="auto"/>
            <w:noWrap/>
            <w:vAlign w:val="bottom"/>
            <w:hideMark/>
          </w:tcPr>
          <w:p w14:paraId="77DD9BA3"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U</w:t>
            </w:r>
            <w:bookmarkStart w:id="1" w:name="_Ref112309620"/>
            <w:r w:rsidRPr="00BE3C8B">
              <w:rPr>
                <w:rFonts w:ascii="Charter" w:eastAsia="Times New Roman" w:hAnsi="Charter" w:cs="Calibri"/>
                <w:color w:val="000000"/>
                <w:szCs w:val="20"/>
                <w:lang w:eastAsia="en-GB"/>
              </w:rPr>
              <w:t>nderlying interest cover ratio</w:t>
            </w:r>
            <w:bookmarkStart w:id="2" w:name="_Ref113873326"/>
            <w:r w:rsidRPr="00BE3C8B">
              <w:rPr>
                <w:rFonts w:ascii="Charter" w:eastAsia="Times New Roman" w:hAnsi="Charter" w:cs="Calibri"/>
                <w:color w:val="000000"/>
                <w:vertAlign w:val="superscript"/>
                <w:lang w:eastAsia="en-GB"/>
              </w:rPr>
              <w:footnoteReference w:id="2"/>
            </w:r>
            <w:bookmarkEnd w:id="1"/>
            <w:bookmarkEnd w:id="2"/>
          </w:p>
        </w:tc>
        <w:tc>
          <w:tcPr>
            <w:tcW w:w="236" w:type="dxa"/>
            <w:tcBorders>
              <w:top w:val="nil"/>
              <w:left w:val="nil"/>
              <w:bottom w:val="nil"/>
              <w:right w:val="nil"/>
            </w:tcBorders>
            <w:shd w:val="clear" w:color="auto" w:fill="auto"/>
            <w:noWrap/>
            <w:vAlign w:val="bottom"/>
            <w:hideMark/>
          </w:tcPr>
          <w:p w14:paraId="0BA8AB7D"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60C783D8"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1.5:1</w:t>
            </w:r>
          </w:p>
        </w:tc>
        <w:tc>
          <w:tcPr>
            <w:tcW w:w="266" w:type="dxa"/>
            <w:tcBorders>
              <w:top w:val="nil"/>
              <w:left w:val="nil"/>
              <w:bottom w:val="nil"/>
              <w:right w:val="nil"/>
            </w:tcBorders>
            <w:shd w:val="clear" w:color="auto" w:fill="auto"/>
            <w:noWrap/>
            <w:vAlign w:val="bottom"/>
          </w:tcPr>
          <w:p w14:paraId="6119E077"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38C51DC2" w14:textId="77777777" w:rsidR="003B5831" w:rsidRPr="00767F7F"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1.5</w:t>
            </w:r>
            <w:r w:rsidRPr="00767F7F">
              <w:rPr>
                <w:rFonts w:ascii="Charter" w:eastAsia="Times New Roman" w:hAnsi="Charter" w:cs="Calibri"/>
                <w:color w:val="000000"/>
                <w:szCs w:val="20"/>
                <w:lang w:eastAsia="en-GB"/>
              </w:rPr>
              <w:t>:1</w:t>
            </w:r>
          </w:p>
        </w:tc>
        <w:tc>
          <w:tcPr>
            <w:tcW w:w="1514" w:type="dxa"/>
            <w:tcBorders>
              <w:top w:val="nil"/>
              <w:left w:val="nil"/>
              <w:bottom w:val="nil"/>
              <w:right w:val="nil"/>
            </w:tcBorders>
            <w:shd w:val="clear" w:color="auto" w:fill="auto"/>
            <w:noWrap/>
            <w:vAlign w:val="bottom"/>
            <w:hideMark/>
          </w:tcPr>
          <w:p w14:paraId="7D135DDC" w14:textId="77777777" w:rsidR="003B5831" w:rsidRPr="00767F7F" w:rsidRDefault="003B5831" w:rsidP="001A235F">
            <w:pPr>
              <w:spacing w:line="276" w:lineRule="auto"/>
              <w:jc w:val="right"/>
              <w:rPr>
                <w:rFonts w:ascii="Charter" w:eastAsia="Times New Roman" w:hAnsi="Charter" w:cs="Calibri"/>
                <w:color w:val="000000"/>
                <w:szCs w:val="20"/>
                <w:lang w:eastAsia="en-GB"/>
              </w:rPr>
            </w:pPr>
            <w:r w:rsidRPr="00767F7F">
              <w:rPr>
                <w:rFonts w:ascii="Charter" w:eastAsia="Times New Roman" w:hAnsi="Charter" w:cs="Calibri"/>
                <w:color w:val="000000"/>
                <w:szCs w:val="20"/>
                <w:lang w:eastAsia="en-GB"/>
              </w:rPr>
              <w:t>1.</w:t>
            </w:r>
            <w:r>
              <w:rPr>
                <w:rFonts w:ascii="Charter" w:eastAsia="Times New Roman" w:hAnsi="Charter" w:cs="Calibri"/>
                <w:color w:val="000000"/>
                <w:szCs w:val="20"/>
                <w:lang w:eastAsia="en-GB"/>
              </w:rPr>
              <w:t>5</w:t>
            </w:r>
            <w:r w:rsidRPr="00767F7F">
              <w:rPr>
                <w:rFonts w:ascii="Charter" w:eastAsia="Times New Roman" w:hAnsi="Charter" w:cs="Calibri"/>
                <w:color w:val="000000"/>
                <w:szCs w:val="20"/>
                <w:lang w:eastAsia="en-GB"/>
              </w:rPr>
              <w:t>:1</w:t>
            </w:r>
          </w:p>
        </w:tc>
      </w:tr>
      <w:tr w:rsidR="003B5831" w:rsidRPr="00BE3C8B" w14:paraId="4CE92180" w14:textId="77777777" w:rsidTr="001A235F">
        <w:trPr>
          <w:trHeight w:val="269"/>
        </w:trPr>
        <w:tc>
          <w:tcPr>
            <w:tcW w:w="3171" w:type="dxa"/>
            <w:gridSpan w:val="2"/>
            <w:tcBorders>
              <w:top w:val="nil"/>
              <w:left w:val="nil"/>
              <w:bottom w:val="nil"/>
              <w:right w:val="nil"/>
            </w:tcBorders>
            <w:shd w:val="clear" w:color="auto" w:fill="auto"/>
            <w:noWrap/>
            <w:vAlign w:val="bottom"/>
            <w:hideMark/>
          </w:tcPr>
          <w:p w14:paraId="300FFEC5"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Interest cover ratio</w:t>
            </w:r>
          </w:p>
        </w:tc>
        <w:tc>
          <w:tcPr>
            <w:tcW w:w="876" w:type="dxa"/>
            <w:tcBorders>
              <w:top w:val="nil"/>
              <w:left w:val="nil"/>
              <w:bottom w:val="nil"/>
              <w:right w:val="nil"/>
            </w:tcBorders>
            <w:shd w:val="clear" w:color="auto" w:fill="auto"/>
            <w:noWrap/>
            <w:vAlign w:val="bottom"/>
            <w:hideMark/>
          </w:tcPr>
          <w:p w14:paraId="70AD9EA9"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4FACA417"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2D1FF95F"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1.</w:t>
            </w:r>
            <w:r>
              <w:rPr>
                <w:rFonts w:ascii="Charter" w:eastAsia="Times New Roman" w:hAnsi="Charter" w:cs="Calibri"/>
                <w:color w:val="000000"/>
                <w:szCs w:val="20"/>
                <w:lang w:eastAsia="en-GB"/>
              </w:rPr>
              <w:t>4</w:t>
            </w:r>
            <w:r w:rsidRPr="00BE3C8B">
              <w:rPr>
                <w:rFonts w:ascii="Charter" w:eastAsia="Times New Roman" w:hAnsi="Charter" w:cs="Calibri"/>
                <w:color w:val="000000"/>
                <w:szCs w:val="20"/>
                <w:lang w:eastAsia="en-GB"/>
              </w:rPr>
              <w:t>:1</w:t>
            </w:r>
          </w:p>
        </w:tc>
        <w:tc>
          <w:tcPr>
            <w:tcW w:w="266" w:type="dxa"/>
            <w:tcBorders>
              <w:top w:val="nil"/>
              <w:left w:val="nil"/>
              <w:bottom w:val="nil"/>
              <w:right w:val="nil"/>
            </w:tcBorders>
            <w:shd w:val="clear" w:color="auto" w:fill="auto"/>
            <w:noWrap/>
          </w:tcPr>
          <w:p w14:paraId="3EAE8462"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48197965" w14:textId="77777777" w:rsidR="003B5831" w:rsidRPr="00767F7F"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1.5</w:t>
            </w:r>
            <w:r w:rsidRPr="00767F7F">
              <w:rPr>
                <w:rFonts w:ascii="Charter" w:eastAsia="Times New Roman" w:hAnsi="Charter" w:cs="Calibri"/>
                <w:color w:val="000000"/>
                <w:szCs w:val="20"/>
                <w:lang w:eastAsia="en-GB"/>
              </w:rPr>
              <w:t>:1</w:t>
            </w:r>
          </w:p>
        </w:tc>
        <w:tc>
          <w:tcPr>
            <w:tcW w:w="1514" w:type="dxa"/>
            <w:tcBorders>
              <w:top w:val="nil"/>
              <w:left w:val="nil"/>
              <w:bottom w:val="nil"/>
              <w:right w:val="nil"/>
            </w:tcBorders>
            <w:shd w:val="clear" w:color="auto" w:fill="auto"/>
            <w:noWrap/>
            <w:vAlign w:val="bottom"/>
            <w:hideMark/>
          </w:tcPr>
          <w:p w14:paraId="1452F0B6" w14:textId="77777777" w:rsidR="003B5831" w:rsidRPr="00767F7F" w:rsidRDefault="003B5831" w:rsidP="001A235F">
            <w:pPr>
              <w:spacing w:line="276" w:lineRule="auto"/>
              <w:jc w:val="right"/>
              <w:rPr>
                <w:rFonts w:ascii="Charter" w:eastAsia="Times New Roman" w:hAnsi="Charter" w:cs="Calibri"/>
                <w:color w:val="000000"/>
                <w:szCs w:val="20"/>
                <w:lang w:eastAsia="en-GB"/>
              </w:rPr>
            </w:pPr>
            <w:r w:rsidRPr="00767F7F">
              <w:rPr>
                <w:rFonts w:ascii="Charter" w:eastAsia="Times New Roman" w:hAnsi="Charter" w:cs="Calibri"/>
                <w:color w:val="000000"/>
                <w:szCs w:val="20"/>
                <w:lang w:eastAsia="en-GB"/>
              </w:rPr>
              <w:t>1.</w:t>
            </w:r>
            <w:r>
              <w:rPr>
                <w:rFonts w:ascii="Charter" w:eastAsia="Times New Roman" w:hAnsi="Charter" w:cs="Calibri"/>
                <w:color w:val="000000"/>
                <w:szCs w:val="20"/>
                <w:lang w:eastAsia="en-GB"/>
              </w:rPr>
              <w:t>5</w:t>
            </w:r>
            <w:r w:rsidRPr="00767F7F">
              <w:rPr>
                <w:rFonts w:ascii="Charter" w:eastAsia="Times New Roman" w:hAnsi="Charter" w:cs="Calibri"/>
                <w:color w:val="000000"/>
                <w:szCs w:val="20"/>
                <w:lang w:eastAsia="en-GB"/>
              </w:rPr>
              <w:t>:1</w:t>
            </w:r>
          </w:p>
        </w:tc>
      </w:tr>
      <w:tr w:rsidR="003B5831" w:rsidRPr="00BE3C8B" w14:paraId="19BC037B" w14:textId="77777777" w:rsidTr="001A235F">
        <w:trPr>
          <w:trHeight w:val="270"/>
        </w:trPr>
        <w:tc>
          <w:tcPr>
            <w:tcW w:w="4047" w:type="dxa"/>
            <w:gridSpan w:val="3"/>
            <w:tcBorders>
              <w:top w:val="nil"/>
              <w:left w:val="nil"/>
              <w:bottom w:val="nil"/>
              <w:right w:val="nil"/>
            </w:tcBorders>
            <w:shd w:val="clear" w:color="auto" w:fill="auto"/>
            <w:noWrap/>
            <w:vAlign w:val="bottom"/>
            <w:hideMark/>
          </w:tcPr>
          <w:p w14:paraId="26B70BDC" w14:textId="77777777" w:rsidR="003B5831" w:rsidRPr="00BE3C8B" w:rsidRDefault="003B5831" w:rsidP="001A235F">
            <w:pPr>
              <w:rPr>
                <w:rFonts w:ascii="Charter" w:eastAsia="Times New Roman" w:hAnsi="Charter" w:cs="Calibri"/>
                <w:color w:val="000000"/>
                <w:szCs w:val="20"/>
                <w:lang w:eastAsia="en-GB"/>
              </w:rPr>
            </w:pPr>
            <w:bookmarkStart w:id="4" w:name="RANGE!A17"/>
            <w:r w:rsidRPr="00BE3C8B">
              <w:rPr>
                <w:rFonts w:ascii="Charter" w:eastAsia="Times New Roman" w:hAnsi="Charter" w:cs="Calibri"/>
                <w:color w:val="000000"/>
                <w:szCs w:val="20"/>
                <w:lang w:eastAsia="en-GB"/>
              </w:rPr>
              <w:t>Underlying net interest margin</w:t>
            </w:r>
            <w:bookmarkStart w:id="5" w:name="_Ref113873317"/>
            <w:r w:rsidRPr="00BE3C8B">
              <w:rPr>
                <w:rFonts w:ascii="Charter" w:eastAsia="Times New Roman" w:hAnsi="Charter" w:cs="Calibri"/>
                <w:color w:val="000000"/>
                <w:vertAlign w:val="superscript"/>
                <w:lang w:eastAsia="en-GB"/>
              </w:rPr>
              <w:footnoteReference w:id="3"/>
            </w:r>
            <w:bookmarkEnd w:id="5"/>
            <w:r w:rsidRPr="00BE3C8B">
              <w:rPr>
                <w:rFonts w:ascii="Charter" w:eastAsia="Times New Roman" w:hAnsi="Charter" w:cs="Calibri"/>
                <w:color w:val="000000"/>
                <w:vertAlign w:val="superscript"/>
                <w:lang w:eastAsia="en-GB"/>
              </w:rPr>
              <w:t xml:space="preserve"> </w:t>
            </w:r>
            <w:r w:rsidRPr="00BE3C8B">
              <w:rPr>
                <w:rFonts w:ascii="Charter" w:eastAsia="Times New Roman" w:hAnsi="Charter" w:cs="Calibri"/>
                <w:color w:val="000000"/>
                <w:szCs w:val="20"/>
                <w:lang w:eastAsia="en-GB"/>
              </w:rPr>
              <w:t>(%)</w:t>
            </w:r>
            <w:bookmarkEnd w:id="4"/>
          </w:p>
        </w:tc>
        <w:tc>
          <w:tcPr>
            <w:tcW w:w="236" w:type="dxa"/>
            <w:tcBorders>
              <w:top w:val="nil"/>
              <w:left w:val="nil"/>
              <w:bottom w:val="nil"/>
              <w:right w:val="nil"/>
            </w:tcBorders>
            <w:shd w:val="clear" w:color="auto" w:fill="auto"/>
            <w:noWrap/>
            <w:vAlign w:val="bottom"/>
            <w:hideMark/>
          </w:tcPr>
          <w:p w14:paraId="574EC106"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034FF5AD"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5.2</w:t>
            </w:r>
          </w:p>
        </w:tc>
        <w:tc>
          <w:tcPr>
            <w:tcW w:w="266" w:type="dxa"/>
            <w:tcBorders>
              <w:top w:val="nil"/>
              <w:left w:val="nil"/>
              <w:bottom w:val="nil"/>
              <w:right w:val="nil"/>
            </w:tcBorders>
            <w:shd w:val="clear" w:color="auto" w:fill="auto"/>
            <w:noWrap/>
            <w:vAlign w:val="bottom"/>
          </w:tcPr>
          <w:p w14:paraId="2D908FF1" w14:textId="77777777" w:rsidR="003B5831" w:rsidRPr="00BE3C8B" w:rsidRDefault="003B5831" w:rsidP="001A235F">
            <w:pPr>
              <w:spacing w:line="276" w:lineRule="auto"/>
              <w:ind w:left="598" w:right="-2282"/>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1DEEDCD5"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5.5</w:t>
            </w:r>
          </w:p>
        </w:tc>
        <w:tc>
          <w:tcPr>
            <w:tcW w:w="1514" w:type="dxa"/>
            <w:tcBorders>
              <w:top w:val="nil"/>
              <w:left w:val="nil"/>
              <w:bottom w:val="nil"/>
              <w:right w:val="nil"/>
            </w:tcBorders>
            <w:shd w:val="clear" w:color="auto" w:fill="auto"/>
            <w:noWrap/>
            <w:vAlign w:val="bottom"/>
            <w:hideMark/>
          </w:tcPr>
          <w:p w14:paraId="6F9A9E6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5</w:t>
            </w:r>
            <w:r>
              <w:rPr>
                <w:rFonts w:ascii="Charter" w:eastAsia="Times New Roman" w:hAnsi="Charter" w:cs="Calibri"/>
                <w:color w:val="000000"/>
                <w:szCs w:val="20"/>
                <w:lang w:eastAsia="en-GB"/>
              </w:rPr>
              <w:t>.2</w:t>
            </w:r>
          </w:p>
        </w:tc>
      </w:tr>
      <w:tr w:rsidR="003B5831" w:rsidRPr="00BE3C8B" w14:paraId="161CB883" w14:textId="77777777" w:rsidTr="001A235F">
        <w:trPr>
          <w:trHeight w:val="269"/>
        </w:trPr>
        <w:tc>
          <w:tcPr>
            <w:tcW w:w="3171" w:type="dxa"/>
            <w:gridSpan w:val="2"/>
            <w:tcBorders>
              <w:top w:val="nil"/>
              <w:left w:val="nil"/>
              <w:bottom w:val="nil"/>
              <w:right w:val="nil"/>
            </w:tcBorders>
            <w:shd w:val="clear" w:color="auto" w:fill="auto"/>
            <w:noWrap/>
            <w:vAlign w:val="bottom"/>
            <w:hideMark/>
          </w:tcPr>
          <w:p w14:paraId="5CDE375C"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Net interest margin (%)</w:t>
            </w:r>
          </w:p>
        </w:tc>
        <w:tc>
          <w:tcPr>
            <w:tcW w:w="876" w:type="dxa"/>
            <w:tcBorders>
              <w:top w:val="nil"/>
              <w:left w:val="nil"/>
              <w:bottom w:val="nil"/>
              <w:right w:val="nil"/>
            </w:tcBorders>
            <w:shd w:val="clear" w:color="auto" w:fill="auto"/>
            <w:noWrap/>
            <w:vAlign w:val="bottom"/>
            <w:hideMark/>
          </w:tcPr>
          <w:p w14:paraId="53FEAEAB"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6C7FC5B0"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7CCFDC88"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5.2</w:t>
            </w:r>
          </w:p>
        </w:tc>
        <w:tc>
          <w:tcPr>
            <w:tcW w:w="266" w:type="dxa"/>
            <w:tcBorders>
              <w:top w:val="nil"/>
              <w:left w:val="nil"/>
              <w:bottom w:val="nil"/>
              <w:right w:val="nil"/>
            </w:tcBorders>
            <w:shd w:val="clear" w:color="auto" w:fill="auto"/>
            <w:noWrap/>
          </w:tcPr>
          <w:p w14:paraId="4D4C4750"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0258B64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5.5</w:t>
            </w:r>
          </w:p>
        </w:tc>
        <w:tc>
          <w:tcPr>
            <w:tcW w:w="1514" w:type="dxa"/>
            <w:tcBorders>
              <w:top w:val="nil"/>
              <w:left w:val="nil"/>
              <w:bottom w:val="nil"/>
              <w:right w:val="nil"/>
            </w:tcBorders>
            <w:shd w:val="clear" w:color="auto" w:fill="auto"/>
            <w:noWrap/>
            <w:vAlign w:val="bottom"/>
            <w:hideMark/>
          </w:tcPr>
          <w:p w14:paraId="2055C96A"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5.2</w:t>
            </w:r>
          </w:p>
        </w:tc>
      </w:tr>
      <w:tr w:rsidR="003B5831" w:rsidRPr="00BE3C8B" w14:paraId="781F3B32" w14:textId="77777777" w:rsidTr="001A235F">
        <w:trPr>
          <w:trHeight w:val="270"/>
        </w:trPr>
        <w:tc>
          <w:tcPr>
            <w:tcW w:w="4047" w:type="dxa"/>
            <w:gridSpan w:val="3"/>
            <w:tcBorders>
              <w:top w:val="nil"/>
              <w:left w:val="nil"/>
              <w:bottom w:val="nil"/>
              <w:right w:val="nil"/>
            </w:tcBorders>
            <w:shd w:val="clear" w:color="auto" w:fill="auto"/>
            <w:noWrap/>
            <w:vAlign w:val="bottom"/>
            <w:hideMark/>
          </w:tcPr>
          <w:p w14:paraId="66DF2B44"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Underlying cost-to-income ratio</w:t>
            </w:r>
            <w:r w:rsidRPr="00BE3C8B">
              <w:rPr>
                <w:rFonts w:ascii="Charter" w:eastAsia="Times New Roman" w:hAnsi="Charter" w:cs="Calibri"/>
                <w:color w:val="000000"/>
                <w:vertAlign w:val="superscript"/>
                <w:lang w:eastAsia="en-GB"/>
              </w:rPr>
              <w:t>1</w:t>
            </w:r>
            <w:r w:rsidRPr="00BE3C8B">
              <w:rPr>
                <w:rFonts w:ascii="Charter" w:eastAsia="Times New Roman" w:hAnsi="Charter" w:cs="Calibri"/>
                <w:color w:val="000000"/>
                <w:szCs w:val="20"/>
                <w:lang w:eastAsia="en-GB"/>
              </w:rPr>
              <w:t xml:space="preserve"> (%)</w:t>
            </w:r>
          </w:p>
        </w:tc>
        <w:tc>
          <w:tcPr>
            <w:tcW w:w="236" w:type="dxa"/>
            <w:tcBorders>
              <w:top w:val="nil"/>
              <w:left w:val="nil"/>
              <w:bottom w:val="nil"/>
              <w:right w:val="nil"/>
            </w:tcBorders>
            <w:shd w:val="clear" w:color="auto" w:fill="auto"/>
            <w:noWrap/>
            <w:vAlign w:val="bottom"/>
            <w:hideMark/>
          </w:tcPr>
          <w:p w14:paraId="1A8BB9F4"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7D698ED8"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30.3</w:t>
            </w:r>
          </w:p>
        </w:tc>
        <w:tc>
          <w:tcPr>
            <w:tcW w:w="266" w:type="dxa"/>
            <w:tcBorders>
              <w:top w:val="nil"/>
              <w:left w:val="nil"/>
              <w:bottom w:val="nil"/>
              <w:right w:val="nil"/>
            </w:tcBorders>
            <w:shd w:val="clear" w:color="auto" w:fill="auto"/>
            <w:noWrap/>
            <w:vAlign w:val="bottom"/>
          </w:tcPr>
          <w:p w14:paraId="5599E011"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0B35BFB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31.6</w:t>
            </w:r>
          </w:p>
        </w:tc>
        <w:tc>
          <w:tcPr>
            <w:tcW w:w="1514" w:type="dxa"/>
            <w:tcBorders>
              <w:top w:val="nil"/>
              <w:left w:val="nil"/>
              <w:bottom w:val="nil"/>
              <w:right w:val="nil"/>
            </w:tcBorders>
            <w:shd w:val="clear" w:color="auto" w:fill="auto"/>
            <w:noWrap/>
            <w:vAlign w:val="bottom"/>
            <w:hideMark/>
          </w:tcPr>
          <w:p w14:paraId="2808E3FD"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28.0</w:t>
            </w:r>
          </w:p>
        </w:tc>
      </w:tr>
      <w:tr w:rsidR="003B5831" w:rsidRPr="00BE3C8B" w14:paraId="122E19F7" w14:textId="77777777" w:rsidTr="001A235F">
        <w:trPr>
          <w:trHeight w:val="269"/>
        </w:trPr>
        <w:tc>
          <w:tcPr>
            <w:tcW w:w="3171" w:type="dxa"/>
            <w:gridSpan w:val="2"/>
            <w:tcBorders>
              <w:top w:val="nil"/>
              <w:left w:val="nil"/>
              <w:bottom w:val="nil"/>
              <w:right w:val="nil"/>
            </w:tcBorders>
            <w:shd w:val="clear" w:color="auto" w:fill="auto"/>
            <w:noWrap/>
            <w:vAlign w:val="bottom"/>
            <w:hideMark/>
          </w:tcPr>
          <w:p w14:paraId="612EE8A5"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Cost-to-income ratio (%)</w:t>
            </w:r>
          </w:p>
        </w:tc>
        <w:tc>
          <w:tcPr>
            <w:tcW w:w="876" w:type="dxa"/>
            <w:tcBorders>
              <w:top w:val="nil"/>
              <w:left w:val="nil"/>
              <w:bottom w:val="nil"/>
              <w:right w:val="nil"/>
            </w:tcBorders>
            <w:shd w:val="clear" w:color="auto" w:fill="auto"/>
            <w:noWrap/>
            <w:vAlign w:val="bottom"/>
            <w:hideMark/>
          </w:tcPr>
          <w:p w14:paraId="5F9FE8F7"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14B94292"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223B91AA"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33.7</w:t>
            </w:r>
          </w:p>
        </w:tc>
        <w:tc>
          <w:tcPr>
            <w:tcW w:w="266" w:type="dxa"/>
            <w:tcBorders>
              <w:top w:val="nil"/>
              <w:left w:val="nil"/>
              <w:bottom w:val="nil"/>
              <w:right w:val="nil"/>
            </w:tcBorders>
            <w:shd w:val="clear" w:color="auto" w:fill="auto"/>
            <w:noWrap/>
          </w:tcPr>
          <w:p w14:paraId="624FEA31"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2ED845EC"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31.6</w:t>
            </w:r>
          </w:p>
        </w:tc>
        <w:tc>
          <w:tcPr>
            <w:tcW w:w="1514" w:type="dxa"/>
            <w:tcBorders>
              <w:top w:val="nil"/>
              <w:left w:val="nil"/>
              <w:bottom w:val="nil"/>
              <w:right w:val="nil"/>
            </w:tcBorders>
            <w:shd w:val="clear" w:color="auto" w:fill="auto"/>
            <w:noWrap/>
            <w:vAlign w:val="bottom"/>
            <w:hideMark/>
          </w:tcPr>
          <w:p w14:paraId="39FF4CB2"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31.6</w:t>
            </w:r>
          </w:p>
        </w:tc>
      </w:tr>
      <w:tr w:rsidR="003B5831" w:rsidRPr="00BE3C8B" w14:paraId="0EA5FA9B" w14:textId="77777777" w:rsidTr="001A235F">
        <w:trPr>
          <w:trHeight w:val="269"/>
        </w:trPr>
        <w:tc>
          <w:tcPr>
            <w:tcW w:w="3171" w:type="dxa"/>
            <w:gridSpan w:val="2"/>
            <w:tcBorders>
              <w:top w:val="nil"/>
              <w:left w:val="nil"/>
              <w:bottom w:val="nil"/>
              <w:right w:val="nil"/>
            </w:tcBorders>
            <w:shd w:val="clear" w:color="auto" w:fill="auto"/>
            <w:noWrap/>
          </w:tcPr>
          <w:p w14:paraId="0DA6CF48" w14:textId="77777777" w:rsidR="003B5831" w:rsidRPr="00BE3C8B" w:rsidRDefault="003B5831" w:rsidP="001A235F">
            <w:pPr>
              <w:rPr>
                <w:rFonts w:ascii="Charter" w:eastAsia="Times New Roman" w:hAnsi="Charter" w:cs="Calibri"/>
                <w:color w:val="000000"/>
                <w:szCs w:val="20"/>
                <w:lang w:eastAsia="en-GB"/>
              </w:rPr>
            </w:pPr>
            <w:r w:rsidRPr="003102D1">
              <w:rPr>
                <w:rFonts w:ascii="Charter" w:eastAsia="Times New Roman" w:hAnsi="Charter" w:cs="Calibri"/>
                <w:color w:val="000000"/>
                <w:szCs w:val="20"/>
                <w:lang w:eastAsia="en-GB"/>
              </w:rPr>
              <w:t>Underlying cost-to-asset ratio</w:t>
            </w:r>
            <w:r w:rsidRPr="00520D6E">
              <w:rPr>
                <w:rFonts w:ascii="Charter" w:eastAsia="Times New Roman" w:hAnsi="Charter" w:cs="Calibri"/>
                <w:color w:val="000000"/>
                <w:szCs w:val="20"/>
                <w:vertAlign w:val="superscript"/>
                <w:lang w:eastAsia="en-GB"/>
              </w:rPr>
              <w:t>1</w:t>
            </w:r>
            <w:r w:rsidRPr="00993FFD">
              <w:rPr>
                <w:rFonts w:ascii="Charter" w:eastAsia="Times New Roman" w:hAnsi="Charter" w:cs="Calibri"/>
                <w:color w:val="000000"/>
                <w:szCs w:val="20"/>
                <w:lang w:eastAsia="en-GB"/>
              </w:rPr>
              <w:t xml:space="preserve"> (%)</w:t>
            </w:r>
          </w:p>
        </w:tc>
        <w:tc>
          <w:tcPr>
            <w:tcW w:w="876" w:type="dxa"/>
            <w:tcBorders>
              <w:top w:val="nil"/>
              <w:left w:val="nil"/>
              <w:bottom w:val="nil"/>
              <w:right w:val="nil"/>
            </w:tcBorders>
            <w:shd w:val="clear" w:color="auto" w:fill="auto"/>
            <w:noWrap/>
            <w:vAlign w:val="bottom"/>
          </w:tcPr>
          <w:p w14:paraId="536AB99F"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tcPr>
          <w:p w14:paraId="405FF901"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tcPr>
          <w:p w14:paraId="3CE078F3"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1.5</w:t>
            </w:r>
          </w:p>
        </w:tc>
        <w:tc>
          <w:tcPr>
            <w:tcW w:w="266" w:type="dxa"/>
            <w:tcBorders>
              <w:top w:val="nil"/>
              <w:left w:val="nil"/>
              <w:bottom w:val="nil"/>
              <w:right w:val="nil"/>
            </w:tcBorders>
            <w:shd w:val="clear" w:color="auto" w:fill="auto"/>
            <w:noWrap/>
          </w:tcPr>
          <w:p w14:paraId="0A8CD71A"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5824A53C"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1.6</w:t>
            </w:r>
          </w:p>
        </w:tc>
        <w:tc>
          <w:tcPr>
            <w:tcW w:w="1514" w:type="dxa"/>
            <w:tcBorders>
              <w:top w:val="nil"/>
              <w:left w:val="nil"/>
              <w:bottom w:val="nil"/>
              <w:right w:val="nil"/>
            </w:tcBorders>
            <w:shd w:val="clear" w:color="auto" w:fill="auto"/>
            <w:noWrap/>
            <w:vAlign w:val="bottom"/>
          </w:tcPr>
          <w:p w14:paraId="10E3CFC2"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1.4</w:t>
            </w:r>
          </w:p>
        </w:tc>
      </w:tr>
      <w:tr w:rsidR="003B5831" w:rsidRPr="00BE3C8B" w14:paraId="5F49F56E" w14:textId="77777777" w:rsidTr="001A235F">
        <w:trPr>
          <w:trHeight w:val="269"/>
        </w:trPr>
        <w:tc>
          <w:tcPr>
            <w:tcW w:w="2608" w:type="dxa"/>
            <w:tcBorders>
              <w:top w:val="nil"/>
              <w:left w:val="nil"/>
              <w:bottom w:val="nil"/>
              <w:right w:val="nil"/>
            </w:tcBorders>
            <w:shd w:val="clear" w:color="auto" w:fill="auto"/>
            <w:noWrap/>
          </w:tcPr>
          <w:p w14:paraId="108BB778" w14:textId="77777777" w:rsidR="003B5831" w:rsidRPr="00BE3C8B" w:rsidRDefault="003B5831" w:rsidP="001A235F">
            <w:pPr>
              <w:rPr>
                <w:rFonts w:ascii="Charter" w:eastAsia="Times New Roman" w:hAnsi="Charter" w:cs="Calibri"/>
                <w:color w:val="000000"/>
                <w:szCs w:val="20"/>
                <w:lang w:eastAsia="en-GB"/>
              </w:rPr>
            </w:pPr>
            <w:r w:rsidRPr="00993FFD">
              <w:rPr>
                <w:rFonts w:ascii="Charter" w:eastAsia="Times New Roman" w:hAnsi="Charter" w:cs="Calibri"/>
                <w:color w:val="000000"/>
                <w:szCs w:val="20"/>
                <w:lang w:eastAsia="en-GB"/>
              </w:rPr>
              <w:t>Cost-to-asset ratio (%)</w:t>
            </w:r>
          </w:p>
        </w:tc>
        <w:tc>
          <w:tcPr>
            <w:tcW w:w="1439" w:type="dxa"/>
            <w:gridSpan w:val="2"/>
            <w:tcBorders>
              <w:top w:val="nil"/>
              <w:left w:val="nil"/>
              <w:bottom w:val="nil"/>
              <w:right w:val="nil"/>
            </w:tcBorders>
            <w:shd w:val="clear" w:color="auto" w:fill="auto"/>
            <w:noWrap/>
            <w:vAlign w:val="bottom"/>
          </w:tcPr>
          <w:p w14:paraId="5B0A420C"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tcPr>
          <w:p w14:paraId="33949CD4"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tcPr>
          <w:p w14:paraId="67513C04"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1.7</w:t>
            </w:r>
          </w:p>
        </w:tc>
        <w:tc>
          <w:tcPr>
            <w:tcW w:w="266" w:type="dxa"/>
            <w:tcBorders>
              <w:top w:val="nil"/>
              <w:left w:val="nil"/>
              <w:bottom w:val="nil"/>
              <w:right w:val="nil"/>
            </w:tcBorders>
            <w:shd w:val="clear" w:color="auto" w:fill="auto"/>
            <w:noWrap/>
          </w:tcPr>
          <w:p w14:paraId="32785ED7"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4EDB1B7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1.6</w:t>
            </w:r>
          </w:p>
        </w:tc>
        <w:tc>
          <w:tcPr>
            <w:tcW w:w="1514" w:type="dxa"/>
            <w:tcBorders>
              <w:top w:val="nil"/>
              <w:left w:val="nil"/>
              <w:bottom w:val="nil"/>
              <w:right w:val="nil"/>
            </w:tcBorders>
            <w:shd w:val="clear" w:color="auto" w:fill="auto"/>
            <w:noWrap/>
            <w:vAlign w:val="bottom"/>
          </w:tcPr>
          <w:p w14:paraId="46B9C1BB"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1.6</w:t>
            </w:r>
          </w:p>
        </w:tc>
      </w:tr>
      <w:tr w:rsidR="003B5831" w:rsidRPr="00BE3C8B" w14:paraId="501FD4C3" w14:textId="77777777" w:rsidTr="001A235F">
        <w:trPr>
          <w:trHeight w:val="270"/>
        </w:trPr>
        <w:tc>
          <w:tcPr>
            <w:tcW w:w="2608" w:type="dxa"/>
            <w:tcBorders>
              <w:top w:val="nil"/>
              <w:left w:val="nil"/>
              <w:bottom w:val="nil"/>
              <w:right w:val="nil"/>
            </w:tcBorders>
            <w:shd w:val="clear" w:color="auto" w:fill="auto"/>
            <w:noWrap/>
            <w:vAlign w:val="bottom"/>
            <w:hideMark/>
          </w:tcPr>
          <w:p w14:paraId="33595647"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Cost of risk (%)</w:t>
            </w:r>
          </w:p>
        </w:tc>
        <w:tc>
          <w:tcPr>
            <w:tcW w:w="1439" w:type="dxa"/>
            <w:gridSpan w:val="2"/>
            <w:tcBorders>
              <w:top w:val="nil"/>
              <w:left w:val="nil"/>
              <w:bottom w:val="nil"/>
              <w:right w:val="nil"/>
            </w:tcBorders>
            <w:shd w:val="clear" w:color="auto" w:fill="auto"/>
            <w:noWrap/>
            <w:vAlign w:val="bottom"/>
            <w:hideMark/>
          </w:tcPr>
          <w:p w14:paraId="054FA90E"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5C152798"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329CE430"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0.</w:t>
            </w:r>
            <w:r>
              <w:rPr>
                <w:rFonts w:ascii="Charter" w:eastAsia="Times New Roman" w:hAnsi="Charter" w:cs="Calibri"/>
                <w:color w:val="000000"/>
                <w:szCs w:val="20"/>
                <w:lang w:eastAsia="en-GB"/>
              </w:rPr>
              <w:t>79</w:t>
            </w:r>
          </w:p>
        </w:tc>
        <w:tc>
          <w:tcPr>
            <w:tcW w:w="266" w:type="dxa"/>
            <w:tcBorders>
              <w:top w:val="nil"/>
              <w:left w:val="nil"/>
              <w:bottom w:val="nil"/>
              <w:right w:val="nil"/>
            </w:tcBorders>
            <w:shd w:val="clear" w:color="auto" w:fill="auto"/>
            <w:noWrap/>
          </w:tcPr>
          <w:p w14:paraId="47EAC37A"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145A0873"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0.</w:t>
            </w:r>
            <w:r>
              <w:rPr>
                <w:rFonts w:ascii="Charter" w:eastAsia="Times New Roman" w:hAnsi="Charter" w:cs="Calibri"/>
                <w:color w:val="000000"/>
                <w:szCs w:val="20"/>
                <w:lang w:eastAsia="en-GB"/>
              </w:rPr>
              <w:t>76</w:t>
            </w:r>
          </w:p>
        </w:tc>
        <w:tc>
          <w:tcPr>
            <w:tcW w:w="1514" w:type="dxa"/>
            <w:tcBorders>
              <w:top w:val="nil"/>
              <w:left w:val="nil"/>
              <w:bottom w:val="nil"/>
              <w:right w:val="nil"/>
            </w:tcBorders>
            <w:shd w:val="clear" w:color="auto" w:fill="auto"/>
            <w:noWrap/>
            <w:vAlign w:val="bottom"/>
            <w:hideMark/>
          </w:tcPr>
          <w:p w14:paraId="5D02D12F"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0.</w:t>
            </w:r>
            <w:r>
              <w:rPr>
                <w:rFonts w:ascii="Charter" w:eastAsia="Times New Roman" w:hAnsi="Charter" w:cs="Calibri"/>
                <w:color w:val="000000"/>
                <w:szCs w:val="20"/>
                <w:lang w:eastAsia="en-GB"/>
              </w:rPr>
              <w:t>85</w:t>
            </w:r>
          </w:p>
        </w:tc>
      </w:tr>
      <w:tr w:rsidR="003B5831" w:rsidRPr="00BE3C8B" w14:paraId="584AFDEB" w14:textId="77777777" w:rsidTr="001A235F">
        <w:trPr>
          <w:trHeight w:val="269"/>
        </w:trPr>
        <w:tc>
          <w:tcPr>
            <w:tcW w:w="4047" w:type="dxa"/>
            <w:gridSpan w:val="3"/>
            <w:tcBorders>
              <w:top w:val="nil"/>
              <w:left w:val="nil"/>
              <w:bottom w:val="nil"/>
              <w:right w:val="nil"/>
            </w:tcBorders>
            <w:shd w:val="clear" w:color="auto" w:fill="auto"/>
            <w:noWrap/>
            <w:vAlign w:val="bottom"/>
            <w:hideMark/>
          </w:tcPr>
          <w:p w14:paraId="70320AC3" w14:textId="1BDE0B68"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Underlying profit before taxation</w:t>
            </w:r>
            <w:r w:rsidRPr="00BE3C8B">
              <w:rPr>
                <w:rFonts w:ascii="Charter" w:eastAsia="Times New Roman" w:hAnsi="Charter" w:cs="Calibri"/>
                <w:color w:val="000000"/>
                <w:vertAlign w:val="superscript"/>
                <w:lang w:eastAsia="en-GB"/>
              </w:rPr>
              <w:fldChar w:fldCharType="begin"/>
            </w:r>
            <w:r w:rsidRPr="00BE3C8B">
              <w:rPr>
                <w:rFonts w:ascii="Charter" w:eastAsia="Times New Roman" w:hAnsi="Charter" w:cs="Calibri"/>
                <w:color w:val="000000"/>
                <w:vertAlign w:val="superscript"/>
                <w:lang w:eastAsia="en-GB"/>
              </w:rPr>
              <w:instrText xml:space="preserve"> NOTEREF _Ref113873326 \h  \* MERGEFORMAT </w:instrText>
            </w:r>
            <w:r w:rsidRPr="00BE3C8B">
              <w:rPr>
                <w:rFonts w:ascii="Charter" w:eastAsia="Times New Roman" w:hAnsi="Charter" w:cs="Calibri"/>
                <w:color w:val="000000"/>
                <w:vertAlign w:val="superscript"/>
                <w:lang w:eastAsia="en-GB"/>
              </w:rPr>
            </w:r>
            <w:r w:rsidRPr="00BE3C8B">
              <w:rPr>
                <w:rFonts w:ascii="Charter" w:eastAsia="Times New Roman" w:hAnsi="Charter" w:cs="Calibri"/>
                <w:color w:val="000000"/>
                <w:vertAlign w:val="superscript"/>
                <w:lang w:eastAsia="en-GB"/>
              </w:rPr>
              <w:fldChar w:fldCharType="separate"/>
            </w:r>
            <w:r w:rsidR="000A7400">
              <w:rPr>
                <w:rFonts w:ascii="Charter" w:eastAsia="Times New Roman" w:hAnsi="Charter" w:cs="Calibri"/>
                <w:color w:val="000000"/>
                <w:vertAlign w:val="superscript"/>
                <w:lang w:eastAsia="en-GB"/>
              </w:rPr>
              <w:t>1</w:t>
            </w:r>
            <w:r w:rsidRPr="00BE3C8B">
              <w:rPr>
                <w:rFonts w:ascii="Charter" w:eastAsia="Times New Roman" w:hAnsi="Charter" w:cs="Calibri"/>
                <w:color w:val="000000"/>
                <w:vertAlign w:val="superscript"/>
                <w:lang w:eastAsia="en-GB"/>
              </w:rPr>
              <w:fldChar w:fldCharType="end"/>
            </w:r>
            <w:r w:rsidRPr="00BE3C8B">
              <w:rPr>
                <w:rFonts w:ascii="Charter" w:eastAsia="Times New Roman" w:hAnsi="Charter" w:cs="Calibri"/>
                <w:color w:val="000000"/>
                <w:szCs w:val="20"/>
                <w:lang w:eastAsia="en-GB"/>
              </w:rPr>
              <w:t xml:space="preserve"> (£m)</w:t>
            </w:r>
          </w:p>
        </w:tc>
        <w:tc>
          <w:tcPr>
            <w:tcW w:w="236" w:type="dxa"/>
            <w:tcBorders>
              <w:top w:val="nil"/>
              <w:left w:val="nil"/>
              <w:bottom w:val="nil"/>
              <w:right w:val="nil"/>
            </w:tcBorders>
            <w:shd w:val="clear" w:color="auto" w:fill="auto"/>
            <w:noWrap/>
            <w:vAlign w:val="bottom"/>
            <w:hideMark/>
          </w:tcPr>
          <w:p w14:paraId="4AD3D772"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3BFD0CF3"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53.7</w:t>
            </w:r>
            <w:r w:rsidRPr="00BE3C8B">
              <w:rPr>
                <w:rFonts w:ascii="Charter" w:eastAsia="Times New Roman" w:hAnsi="Charter" w:cs="Calibri"/>
                <w:color w:val="000000"/>
                <w:szCs w:val="20"/>
                <w:lang w:eastAsia="en-GB"/>
              </w:rPr>
              <w:t xml:space="preserve"> </w:t>
            </w:r>
          </w:p>
        </w:tc>
        <w:tc>
          <w:tcPr>
            <w:tcW w:w="266" w:type="dxa"/>
            <w:tcBorders>
              <w:top w:val="nil"/>
              <w:left w:val="nil"/>
              <w:bottom w:val="nil"/>
              <w:right w:val="nil"/>
            </w:tcBorders>
            <w:shd w:val="clear" w:color="auto" w:fill="auto"/>
            <w:noWrap/>
            <w:vAlign w:val="bottom"/>
          </w:tcPr>
          <w:p w14:paraId="75E6ACA0"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2D797AF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47.7</w:t>
            </w:r>
            <w:r w:rsidRPr="00BE3C8B">
              <w:rPr>
                <w:rFonts w:ascii="Charter" w:eastAsia="Times New Roman" w:hAnsi="Charter" w:cs="Calibri"/>
                <w:color w:val="000000"/>
                <w:szCs w:val="20"/>
                <w:lang w:eastAsia="en-GB"/>
              </w:rPr>
              <w:t xml:space="preserve"> </w:t>
            </w:r>
          </w:p>
        </w:tc>
        <w:tc>
          <w:tcPr>
            <w:tcW w:w="1514" w:type="dxa"/>
            <w:tcBorders>
              <w:top w:val="nil"/>
              <w:left w:val="nil"/>
              <w:bottom w:val="nil"/>
              <w:right w:val="nil"/>
            </w:tcBorders>
            <w:shd w:val="clear" w:color="auto" w:fill="auto"/>
            <w:noWrap/>
            <w:vAlign w:val="bottom"/>
            <w:hideMark/>
          </w:tcPr>
          <w:p w14:paraId="286F7E3F"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53.0</w:t>
            </w:r>
          </w:p>
        </w:tc>
      </w:tr>
      <w:tr w:rsidR="003B5831" w:rsidRPr="00BE3C8B" w14:paraId="3EF1EA25" w14:textId="77777777" w:rsidTr="001A235F">
        <w:trPr>
          <w:trHeight w:val="270"/>
        </w:trPr>
        <w:tc>
          <w:tcPr>
            <w:tcW w:w="2608" w:type="dxa"/>
            <w:tcBorders>
              <w:top w:val="nil"/>
              <w:left w:val="nil"/>
              <w:bottom w:val="nil"/>
              <w:right w:val="nil"/>
            </w:tcBorders>
            <w:shd w:val="clear" w:color="auto" w:fill="auto"/>
            <w:noWrap/>
            <w:vAlign w:val="bottom"/>
            <w:hideMark/>
          </w:tcPr>
          <w:p w14:paraId="4FFC01B4"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Profit before taxation (£m)</w:t>
            </w:r>
          </w:p>
        </w:tc>
        <w:tc>
          <w:tcPr>
            <w:tcW w:w="1439" w:type="dxa"/>
            <w:gridSpan w:val="2"/>
            <w:tcBorders>
              <w:top w:val="nil"/>
              <w:left w:val="nil"/>
              <w:bottom w:val="nil"/>
              <w:right w:val="nil"/>
            </w:tcBorders>
            <w:shd w:val="clear" w:color="auto" w:fill="auto"/>
            <w:noWrap/>
            <w:vAlign w:val="bottom"/>
            <w:hideMark/>
          </w:tcPr>
          <w:p w14:paraId="11DA2E5C"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7A313C56"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4DE4A2EE"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50.3</w:t>
            </w:r>
            <w:r w:rsidRPr="00BE3C8B">
              <w:rPr>
                <w:rFonts w:ascii="Charter" w:eastAsia="Times New Roman" w:hAnsi="Charter" w:cs="Calibri"/>
                <w:color w:val="000000"/>
                <w:szCs w:val="20"/>
                <w:lang w:eastAsia="en-GB"/>
              </w:rPr>
              <w:t xml:space="preserve"> </w:t>
            </w:r>
          </w:p>
        </w:tc>
        <w:tc>
          <w:tcPr>
            <w:tcW w:w="266" w:type="dxa"/>
            <w:tcBorders>
              <w:top w:val="nil"/>
              <w:left w:val="nil"/>
              <w:bottom w:val="nil"/>
              <w:right w:val="nil"/>
            </w:tcBorders>
            <w:shd w:val="clear" w:color="auto" w:fill="auto"/>
            <w:noWrap/>
          </w:tcPr>
          <w:p w14:paraId="574B6FAF"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040863A5"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47.3</w:t>
            </w:r>
          </w:p>
        </w:tc>
        <w:tc>
          <w:tcPr>
            <w:tcW w:w="1514" w:type="dxa"/>
            <w:tcBorders>
              <w:top w:val="nil"/>
              <w:left w:val="nil"/>
              <w:bottom w:val="nil"/>
              <w:right w:val="nil"/>
            </w:tcBorders>
            <w:shd w:val="clear" w:color="auto" w:fill="auto"/>
            <w:noWrap/>
            <w:vAlign w:val="bottom"/>
            <w:hideMark/>
          </w:tcPr>
          <w:p w14:paraId="50E366F7"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49.6</w:t>
            </w:r>
          </w:p>
        </w:tc>
      </w:tr>
      <w:tr w:rsidR="003B5831" w:rsidRPr="00BE3C8B" w14:paraId="4450B8D8" w14:textId="77777777" w:rsidTr="001A235F">
        <w:trPr>
          <w:trHeight w:val="269"/>
        </w:trPr>
        <w:tc>
          <w:tcPr>
            <w:tcW w:w="4047" w:type="dxa"/>
            <w:gridSpan w:val="3"/>
            <w:tcBorders>
              <w:top w:val="nil"/>
              <w:left w:val="nil"/>
              <w:bottom w:val="nil"/>
              <w:right w:val="nil"/>
            </w:tcBorders>
            <w:shd w:val="clear" w:color="auto" w:fill="auto"/>
            <w:noWrap/>
            <w:vAlign w:val="bottom"/>
          </w:tcPr>
          <w:p w14:paraId="61B0742B"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Underlying EBITDA</w:t>
            </w:r>
            <w:r w:rsidRPr="00BE3C8B">
              <w:rPr>
                <w:rFonts w:ascii="Charter" w:eastAsia="Times New Roman" w:hAnsi="Charter" w:cs="Calibri"/>
                <w:color w:val="000000"/>
                <w:vertAlign w:val="superscript"/>
                <w:lang w:eastAsia="en-GB"/>
              </w:rPr>
              <w:t>1</w:t>
            </w:r>
          </w:p>
        </w:tc>
        <w:tc>
          <w:tcPr>
            <w:tcW w:w="236" w:type="dxa"/>
            <w:tcBorders>
              <w:top w:val="nil"/>
              <w:left w:val="nil"/>
              <w:bottom w:val="nil"/>
              <w:right w:val="nil"/>
            </w:tcBorders>
            <w:shd w:val="clear" w:color="auto" w:fill="auto"/>
            <w:noWrap/>
            <w:vAlign w:val="bottom"/>
          </w:tcPr>
          <w:p w14:paraId="49657095"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tcPr>
          <w:p w14:paraId="539CF19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172.9</w:t>
            </w:r>
          </w:p>
        </w:tc>
        <w:tc>
          <w:tcPr>
            <w:tcW w:w="266" w:type="dxa"/>
            <w:tcBorders>
              <w:top w:val="nil"/>
              <w:left w:val="nil"/>
              <w:bottom w:val="nil"/>
              <w:right w:val="nil"/>
            </w:tcBorders>
            <w:shd w:val="clear" w:color="auto" w:fill="auto"/>
            <w:noWrap/>
            <w:vAlign w:val="bottom"/>
          </w:tcPr>
          <w:p w14:paraId="46ED62E2"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1BF74BF3"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143.2</w:t>
            </w:r>
          </w:p>
        </w:tc>
        <w:tc>
          <w:tcPr>
            <w:tcW w:w="1514" w:type="dxa"/>
            <w:tcBorders>
              <w:top w:val="nil"/>
              <w:left w:val="nil"/>
              <w:bottom w:val="nil"/>
              <w:right w:val="nil"/>
            </w:tcBorders>
            <w:shd w:val="clear" w:color="auto" w:fill="auto"/>
            <w:noWrap/>
            <w:vAlign w:val="bottom"/>
          </w:tcPr>
          <w:p w14:paraId="79296691"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168.2</w:t>
            </w:r>
          </w:p>
        </w:tc>
      </w:tr>
      <w:tr w:rsidR="003B5831" w:rsidRPr="00BE3C8B" w14:paraId="1808497A" w14:textId="77777777" w:rsidTr="001A235F">
        <w:trPr>
          <w:trHeight w:val="269"/>
        </w:trPr>
        <w:tc>
          <w:tcPr>
            <w:tcW w:w="4047" w:type="dxa"/>
            <w:gridSpan w:val="3"/>
            <w:tcBorders>
              <w:top w:val="nil"/>
              <w:left w:val="nil"/>
              <w:bottom w:val="nil"/>
              <w:right w:val="nil"/>
            </w:tcBorders>
            <w:shd w:val="clear" w:color="auto" w:fill="auto"/>
            <w:noWrap/>
            <w:vAlign w:val="bottom"/>
          </w:tcPr>
          <w:p w14:paraId="67D00D29" w14:textId="77777777" w:rsidR="003B5831" w:rsidRPr="00BE3C8B" w:rsidRDefault="003B5831" w:rsidP="001A235F">
            <w:pPr>
              <w:rPr>
                <w:rFonts w:ascii="Charter" w:eastAsia="Times New Roman" w:hAnsi="Charter" w:cs="Calibri"/>
                <w:color w:val="000000"/>
                <w:szCs w:val="20"/>
                <w:lang w:eastAsia="en-GB"/>
              </w:rPr>
            </w:pPr>
            <w:r>
              <w:rPr>
                <w:rFonts w:ascii="Charter" w:eastAsia="Times New Roman" w:hAnsi="Charter" w:cs="Calibri"/>
                <w:color w:val="000000"/>
                <w:szCs w:val="20"/>
                <w:lang w:eastAsia="en-GB"/>
              </w:rPr>
              <w:t>EBITDA</w:t>
            </w:r>
          </w:p>
        </w:tc>
        <w:tc>
          <w:tcPr>
            <w:tcW w:w="236" w:type="dxa"/>
            <w:tcBorders>
              <w:top w:val="nil"/>
              <w:left w:val="nil"/>
              <w:bottom w:val="nil"/>
              <w:right w:val="nil"/>
            </w:tcBorders>
            <w:shd w:val="clear" w:color="auto" w:fill="auto"/>
            <w:noWrap/>
            <w:vAlign w:val="bottom"/>
          </w:tcPr>
          <w:p w14:paraId="3395BDCE"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tcPr>
          <w:p w14:paraId="129F4E7F" w14:textId="77777777" w:rsidR="003B5831"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169.5</w:t>
            </w:r>
          </w:p>
        </w:tc>
        <w:tc>
          <w:tcPr>
            <w:tcW w:w="266" w:type="dxa"/>
            <w:tcBorders>
              <w:top w:val="nil"/>
              <w:left w:val="nil"/>
              <w:bottom w:val="nil"/>
              <w:right w:val="nil"/>
            </w:tcBorders>
            <w:shd w:val="clear" w:color="auto" w:fill="auto"/>
            <w:noWrap/>
            <w:vAlign w:val="bottom"/>
          </w:tcPr>
          <w:p w14:paraId="04931CA2"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1ABE12B3" w14:textId="77777777" w:rsidR="003B5831"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142.8</w:t>
            </w:r>
          </w:p>
        </w:tc>
        <w:tc>
          <w:tcPr>
            <w:tcW w:w="1514" w:type="dxa"/>
            <w:tcBorders>
              <w:top w:val="nil"/>
              <w:left w:val="nil"/>
              <w:bottom w:val="nil"/>
              <w:right w:val="nil"/>
            </w:tcBorders>
            <w:shd w:val="clear" w:color="auto" w:fill="auto"/>
            <w:noWrap/>
            <w:vAlign w:val="bottom"/>
          </w:tcPr>
          <w:p w14:paraId="08E01813" w14:textId="77777777" w:rsidR="003B5831"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164.8</w:t>
            </w:r>
          </w:p>
        </w:tc>
      </w:tr>
      <w:tr w:rsidR="003B5831" w:rsidRPr="00BE3C8B" w14:paraId="3A0A3251" w14:textId="77777777" w:rsidTr="001A235F">
        <w:trPr>
          <w:trHeight w:val="270"/>
        </w:trPr>
        <w:tc>
          <w:tcPr>
            <w:tcW w:w="4047" w:type="dxa"/>
            <w:gridSpan w:val="3"/>
            <w:tcBorders>
              <w:top w:val="nil"/>
              <w:left w:val="nil"/>
              <w:bottom w:val="nil"/>
              <w:right w:val="nil"/>
            </w:tcBorders>
            <w:shd w:val="clear" w:color="auto" w:fill="auto"/>
            <w:noWrap/>
            <w:vAlign w:val="bottom"/>
            <w:hideMark/>
          </w:tcPr>
          <w:p w14:paraId="10F7861F"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Loans and advances to customers</w:t>
            </w:r>
            <w:r w:rsidRPr="00BE3C8B">
              <w:rPr>
                <w:rFonts w:ascii="Charter" w:eastAsia="Times New Roman" w:hAnsi="Charter" w:cs="Calibri"/>
                <w:color w:val="000000"/>
                <w:szCs w:val="20"/>
                <w:vertAlign w:val="superscript"/>
                <w:lang w:eastAsia="en-GB"/>
              </w:rPr>
              <w:t>4</w:t>
            </w:r>
            <w:r w:rsidRPr="00BE3C8B">
              <w:rPr>
                <w:rFonts w:ascii="Charter" w:eastAsia="Times New Roman" w:hAnsi="Charter" w:cs="Calibri"/>
                <w:color w:val="000000"/>
                <w:szCs w:val="20"/>
                <w:lang w:eastAsia="en-GB"/>
              </w:rPr>
              <w:t xml:space="preserve"> (£m)</w:t>
            </w:r>
          </w:p>
        </w:tc>
        <w:tc>
          <w:tcPr>
            <w:tcW w:w="236" w:type="dxa"/>
            <w:tcBorders>
              <w:top w:val="nil"/>
              <w:left w:val="nil"/>
              <w:bottom w:val="nil"/>
              <w:right w:val="nil"/>
            </w:tcBorders>
            <w:shd w:val="clear" w:color="auto" w:fill="auto"/>
            <w:noWrap/>
            <w:vAlign w:val="bottom"/>
            <w:hideMark/>
          </w:tcPr>
          <w:p w14:paraId="02E0FA9A"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0BFAA74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7,581.4</w:t>
            </w:r>
            <w:r w:rsidRPr="00BE3C8B">
              <w:rPr>
                <w:rFonts w:ascii="Charter" w:eastAsia="Times New Roman" w:hAnsi="Charter" w:cs="Calibri"/>
                <w:color w:val="000000"/>
                <w:szCs w:val="20"/>
                <w:lang w:eastAsia="en-GB"/>
              </w:rPr>
              <w:t xml:space="preserve"> </w:t>
            </w:r>
          </w:p>
        </w:tc>
        <w:tc>
          <w:tcPr>
            <w:tcW w:w="266" w:type="dxa"/>
            <w:tcBorders>
              <w:top w:val="nil"/>
              <w:left w:val="nil"/>
              <w:bottom w:val="nil"/>
              <w:right w:val="nil"/>
            </w:tcBorders>
            <w:shd w:val="clear" w:color="auto" w:fill="auto"/>
            <w:noWrap/>
            <w:vAlign w:val="bottom"/>
          </w:tcPr>
          <w:p w14:paraId="29F05DFC"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05525B71"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6,610.2</w:t>
            </w:r>
            <w:r w:rsidRPr="00BE3C8B">
              <w:rPr>
                <w:rFonts w:ascii="Charter" w:eastAsia="Times New Roman" w:hAnsi="Charter" w:cs="Calibri"/>
                <w:color w:val="000000"/>
                <w:szCs w:val="20"/>
                <w:lang w:eastAsia="en-GB"/>
              </w:rPr>
              <w:t xml:space="preserve"> </w:t>
            </w:r>
          </w:p>
        </w:tc>
        <w:tc>
          <w:tcPr>
            <w:tcW w:w="1514" w:type="dxa"/>
            <w:tcBorders>
              <w:top w:val="nil"/>
              <w:left w:val="nil"/>
              <w:bottom w:val="nil"/>
              <w:right w:val="nil"/>
            </w:tcBorders>
            <w:shd w:val="clear" w:color="auto" w:fill="auto"/>
            <w:noWrap/>
            <w:vAlign w:val="bottom"/>
            <w:hideMark/>
          </w:tcPr>
          <w:p w14:paraId="438AAC8B"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7,363.9</w:t>
            </w:r>
            <w:r w:rsidRPr="00BE3C8B">
              <w:rPr>
                <w:rFonts w:ascii="Charter" w:eastAsia="Times New Roman" w:hAnsi="Charter" w:cs="Calibri"/>
                <w:color w:val="000000"/>
                <w:szCs w:val="20"/>
                <w:lang w:eastAsia="en-GB"/>
              </w:rPr>
              <w:t xml:space="preserve"> </w:t>
            </w:r>
          </w:p>
        </w:tc>
      </w:tr>
      <w:tr w:rsidR="003B5831" w:rsidRPr="00BE3C8B" w14:paraId="612BB784" w14:textId="77777777" w:rsidTr="001A235F">
        <w:trPr>
          <w:trHeight w:val="269"/>
        </w:trPr>
        <w:tc>
          <w:tcPr>
            <w:tcW w:w="2608" w:type="dxa"/>
            <w:tcBorders>
              <w:top w:val="nil"/>
              <w:left w:val="nil"/>
              <w:bottom w:val="nil"/>
              <w:right w:val="nil"/>
            </w:tcBorders>
            <w:shd w:val="clear" w:color="auto" w:fill="auto"/>
            <w:noWrap/>
            <w:vAlign w:val="bottom"/>
            <w:hideMark/>
          </w:tcPr>
          <w:p w14:paraId="3439191B"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Net debt gearing (%)</w:t>
            </w:r>
          </w:p>
        </w:tc>
        <w:tc>
          <w:tcPr>
            <w:tcW w:w="1439" w:type="dxa"/>
            <w:gridSpan w:val="2"/>
            <w:tcBorders>
              <w:top w:val="nil"/>
              <w:left w:val="nil"/>
              <w:bottom w:val="nil"/>
              <w:right w:val="nil"/>
            </w:tcBorders>
            <w:shd w:val="clear" w:color="auto" w:fill="auto"/>
            <w:noWrap/>
            <w:vAlign w:val="bottom"/>
            <w:hideMark/>
          </w:tcPr>
          <w:p w14:paraId="0D84E5D2"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3E7167EE"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1FACE99C"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8</w:t>
            </w:r>
            <w:r>
              <w:rPr>
                <w:rFonts w:ascii="Charter" w:eastAsia="Times New Roman" w:hAnsi="Charter" w:cs="Calibri"/>
                <w:color w:val="000000"/>
                <w:szCs w:val="20"/>
                <w:lang w:eastAsia="en-GB"/>
              </w:rPr>
              <w:t>3.7</w:t>
            </w:r>
          </w:p>
        </w:tc>
        <w:tc>
          <w:tcPr>
            <w:tcW w:w="266" w:type="dxa"/>
            <w:tcBorders>
              <w:top w:val="nil"/>
              <w:left w:val="nil"/>
              <w:bottom w:val="nil"/>
              <w:right w:val="nil"/>
            </w:tcBorders>
            <w:shd w:val="clear" w:color="auto" w:fill="auto"/>
            <w:noWrap/>
          </w:tcPr>
          <w:p w14:paraId="478AB879"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2FD3D9A4"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8</w:t>
            </w:r>
            <w:r>
              <w:rPr>
                <w:rFonts w:ascii="Charter" w:eastAsia="Times New Roman" w:hAnsi="Charter" w:cs="Calibri"/>
                <w:color w:val="000000"/>
                <w:szCs w:val="20"/>
                <w:lang w:eastAsia="en-GB"/>
              </w:rPr>
              <w:t>3.0</w:t>
            </w:r>
          </w:p>
        </w:tc>
        <w:tc>
          <w:tcPr>
            <w:tcW w:w="1514" w:type="dxa"/>
            <w:tcBorders>
              <w:top w:val="nil"/>
              <w:left w:val="nil"/>
              <w:bottom w:val="nil"/>
              <w:right w:val="nil"/>
            </w:tcBorders>
            <w:shd w:val="clear" w:color="auto" w:fill="auto"/>
            <w:noWrap/>
            <w:vAlign w:val="bottom"/>
            <w:hideMark/>
          </w:tcPr>
          <w:p w14:paraId="6D5140B1"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83</w:t>
            </w:r>
            <w:r w:rsidRPr="00BE3C8B">
              <w:rPr>
                <w:rFonts w:ascii="Charter" w:eastAsia="Times New Roman" w:hAnsi="Charter" w:cs="Calibri"/>
                <w:color w:val="000000"/>
                <w:szCs w:val="20"/>
                <w:lang w:eastAsia="en-GB"/>
              </w:rPr>
              <w:t>.9</w:t>
            </w:r>
          </w:p>
        </w:tc>
      </w:tr>
      <w:tr w:rsidR="003B5831" w:rsidRPr="00BE3C8B" w14:paraId="6851C07B" w14:textId="77777777" w:rsidTr="001A235F">
        <w:trPr>
          <w:trHeight w:val="68"/>
        </w:trPr>
        <w:tc>
          <w:tcPr>
            <w:tcW w:w="2608" w:type="dxa"/>
            <w:tcBorders>
              <w:top w:val="nil"/>
              <w:left w:val="nil"/>
              <w:bottom w:val="nil"/>
              <w:right w:val="nil"/>
            </w:tcBorders>
            <w:shd w:val="clear" w:color="auto" w:fill="auto"/>
            <w:noWrap/>
            <w:vAlign w:val="bottom"/>
            <w:hideMark/>
          </w:tcPr>
          <w:p w14:paraId="652C2E79"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Shareholder funds</w:t>
            </w:r>
            <w:r w:rsidRPr="00BE3C8B">
              <w:rPr>
                <w:rFonts w:ascii="Charter" w:hAnsi="Charter"/>
                <w:vertAlign w:val="superscript"/>
              </w:rPr>
              <w:footnoteReference w:id="4"/>
            </w:r>
            <w:r w:rsidRPr="00BE3C8B">
              <w:rPr>
                <w:rFonts w:ascii="Charter" w:eastAsia="Times New Roman" w:hAnsi="Charter" w:cs="Calibri"/>
                <w:color w:val="000000"/>
                <w:szCs w:val="20"/>
                <w:vertAlign w:val="superscript"/>
                <w:lang w:eastAsia="en-GB"/>
              </w:rPr>
              <w:t xml:space="preserve"> (</w:t>
            </w:r>
            <w:r w:rsidRPr="00BE3C8B">
              <w:rPr>
                <w:rFonts w:ascii="Charter" w:eastAsia="Times New Roman" w:hAnsi="Charter" w:cs="Calibri"/>
                <w:color w:val="000000"/>
                <w:szCs w:val="20"/>
                <w:lang w:eastAsia="en-GB"/>
              </w:rPr>
              <w:t>£m)</w:t>
            </w:r>
          </w:p>
        </w:tc>
        <w:tc>
          <w:tcPr>
            <w:tcW w:w="1439" w:type="dxa"/>
            <w:gridSpan w:val="2"/>
            <w:tcBorders>
              <w:top w:val="nil"/>
              <w:left w:val="nil"/>
              <w:bottom w:val="nil"/>
              <w:right w:val="nil"/>
            </w:tcBorders>
            <w:shd w:val="clear" w:color="auto" w:fill="auto"/>
            <w:noWrap/>
            <w:vAlign w:val="bottom"/>
            <w:hideMark/>
          </w:tcPr>
          <w:p w14:paraId="6AFFCAE5"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7217A574"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1033537F"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 xml:space="preserve">        1,</w:t>
            </w:r>
            <w:r>
              <w:rPr>
                <w:rFonts w:ascii="Charter" w:eastAsia="Times New Roman" w:hAnsi="Charter" w:cs="Calibri"/>
                <w:color w:val="000000"/>
                <w:szCs w:val="20"/>
                <w:lang w:eastAsia="en-GB"/>
              </w:rPr>
              <w:t>177.0</w:t>
            </w:r>
            <w:r w:rsidRPr="00BE3C8B">
              <w:rPr>
                <w:rFonts w:ascii="Charter" w:eastAsia="Times New Roman" w:hAnsi="Charter" w:cs="Calibri"/>
                <w:color w:val="000000"/>
                <w:szCs w:val="20"/>
                <w:lang w:eastAsia="en-GB"/>
              </w:rPr>
              <w:t xml:space="preserve"> </w:t>
            </w:r>
          </w:p>
        </w:tc>
        <w:tc>
          <w:tcPr>
            <w:tcW w:w="266" w:type="dxa"/>
            <w:tcBorders>
              <w:top w:val="nil"/>
              <w:left w:val="nil"/>
              <w:bottom w:val="nil"/>
              <w:right w:val="nil"/>
            </w:tcBorders>
            <w:shd w:val="clear" w:color="auto" w:fill="auto"/>
            <w:noWrap/>
          </w:tcPr>
          <w:p w14:paraId="1C16E876"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35E0A89F"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1,133.7</w:t>
            </w:r>
          </w:p>
        </w:tc>
        <w:tc>
          <w:tcPr>
            <w:tcW w:w="1514" w:type="dxa"/>
            <w:tcBorders>
              <w:top w:val="nil"/>
              <w:left w:val="nil"/>
              <w:bottom w:val="nil"/>
              <w:right w:val="nil"/>
            </w:tcBorders>
            <w:shd w:val="clear" w:color="auto" w:fill="auto"/>
            <w:noWrap/>
            <w:vAlign w:val="bottom"/>
            <w:hideMark/>
          </w:tcPr>
          <w:p w14:paraId="06B1A69E"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1,159.2</w:t>
            </w:r>
            <w:r w:rsidRPr="00BE3C8B">
              <w:rPr>
                <w:rFonts w:ascii="Charter" w:eastAsia="Times New Roman" w:hAnsi="Charter" w:cs="Calibri"/>
                <w:color w:val="000000"/>
                <w:szCs w:val="20"/>
                <w:lang w:eastAsia="en-GB"/>
              </w:rPr>
              <w:t xml:space="preserve"> </w:t>
            </w:r>
          </w:p>
        </w:tc>
      </w:tr>
      <w:tr w:rsidR="003B5831" w:rsidRPr="00BE3C8B" w14:paraId="54FE62B6" w14:textId="77777777" w:rsidTr="001A235F">
        <w:trPr>
          <w:trHeight w:val="269"/>
        </w:trPr>
        <w:tc>
          <w:tcPr>
            <w:tcW w:w="4047" w:type="dxa"/>
            <w:gridSpan w:val="3"/>
            <w:tcBorders>
              <w:top w:val="nil"/>
              <w:left w:val="nil"/>
              <w:bottom w:val="nil"/>
              <w:right w:val="nil"/>
            </w:tcBorders>
            <w:shd w:val="clear" w:color="auto" w:fill="auto"/>
            <w:noWrap/>
            <w:vAlign w:val="bottom"/>
            <w:hideMark/>
          </w:tcPr>
          <w:p w14:paraId="23521AA8" w14:textId="0FB7FD56"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Underlying return on equity</w:t>
            </w:r>
            <w:r w:rsidRPr="00BE3C8B">
              <w:rPr>
                <w:rFonts w:ascii="Charter" w:eastAsia="Times New Roman" w:hAnsi="Charter" w:cs="Calibri"/>
                <w:color w:val="000000"/>
                <w:vertAlign w:val="superscript"/>
                <w:lang w:eastAsia="en-GB"/>
              </w:rPr>
              <w:fldChar w:fldCharType="begin"/>
            </w:r>
            <w:r w:rsidRPr="00BE3C8B">
              <w:rPr>
                <w:rFonts w:ascii="Charter" w:eastAsia="Times New Roman" w:hAnsi="Charter" w:cs="Calibri"/>
                <w:color w:val="000000"/>
                <w:vertAlign w:val="superscript"/>
                <w:lang w:eastAsia="en-GB"/>
              </w:rPr>
              <w:instrText xml:space="preserve"> NOTEREF _Ref113873326 \h  \* MERGEFORMAT </w:instrText>
            </w:r>
            <w:r w:rsidRPr="00BE3C8B">
              <w:rPr>
                <w:rFonts w:ascii="Charter" w:eastAsia="Times New Roman" w:hAnsi="Charter" w:cs="Calibri"/>
                <w:color w:val="000000"/>
                <w:vertAlign w:val="superscript"/>
                <w:lang w:eastAsia="en-GB"/>
              </w:rPr>
            </w:r>
            <w:r w:rsidRPr="00BE3C8B">
              <w:rPr>
                <w:rFonts w:ascii="Charter" w:eastAsia="Times New Roman" w:hAnsi="Charter" w:cs="Calibri"/>
                <w:color w:val="000000"/>
                <w:vertAlign w:val="superscript"/>
                <w:lang w:eastAsia="en-GB"/>
              </w:rPr>
              <w:fldChar w:fldCharType="separate"/>
            </w:r>
            <w:r w:rsidR="000A7400">
              <w:rPr>
                <w:rFonts w:ascii="Charter" w:eastAsia="Times New Roman" w:hAnsi="Charter" w:cs="Calibri"/>
                <w:color w:val="000000"/>
                <w:vertAlign w:val="superscript"/>
                <w:lang w:eastAsia="en-GB"/>
              </w:rPr>
              <w:t>1</w:t>
            </w:r>
            <w:r w:rsidRPr="00BE3C8B">
              <w:rPr>
                <w:rFonts w:ascii="Charter" w:eastAsia="Times New Roman" w:hAnsi="Charter" w:cs="Calibri"/>
                <w:color w:val="000000"/>
                <w:vertAlign w:val="superscript"/>
                <w:lang w:eastAsia="en-GB"/>
              </w:rPr>
              <w:fldChar w:fldCharType="end"/>
            </w:r>
            <w:r w:rsidRPr="00BE3C8B">
              <w:rPr>
                <w:rFonts w:ascii="Charter" w:eastAsia="Times New Roman" w:hAnsi="Charter" w:cs="Calibri"/>
                <w:color w:val="000000"/>
                <w:szCs w:val="20"/>
                <w:lang w:eastAsia="en-GB"/>
              </w:rPr>
              <w:t xml:space="preserve"> (%)</w:t>
            </w:r>
          </w:p>
        </w:tc>
        <w:tc>
          <w:tcPr>
            <w:tcW w:w="236" w:type="dxa"/>
            <w:tcBorders>
              <w:top w:val="nil"/>
              <w:left w:val="nil"/>
              <w:bottom w:val="nil"/>
              <w:right w:val="nil"/>
            </w:tcBorders>
            <w:shd w:val="clear" w:color="auto" w:fill="auto"/>
            <w:noWrap/>
            <w:vAlign w:val="bottom"/>
            <w:hideMark/>
          </w:tcPr>
          <w:p w14:paraId="1FD56F0F"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5A1245A0"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14.1</w:t>
            </w:r>
          </w:p>
        </w:tc>
        <w:tc>
          <w:tcPr>
            <w:tcW w:w="266" w:type="dxa"/>
            <w:tcBorders>
              <w:top w:val="nil"/>
              <w:left w:val="nil"/>
              <w:bottom w:val="nil"/>
              <w:right w:val="nil"/>
            </w:tcBorders>
            <w:shd w:val="clear" w:color="auto" w:fill="auto"/>
            <w:noWrap/>
            <w:vAlign w:val="bottom"/>
          </w:tcPr>
          <w:p w14:paraId="0A05E74A"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1F86C565"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13.1</w:t>
            </w:r>
          </w:p>
        </w:tc>
        <w:tc>
          <w:tcPr>
            <w:tcW w:w="1514" w:type="dxa"/>
            <w:tcBorders>
              <w:top w:val="nil"/>
              <w:left w:val="nil"/>
              <w:bottom w:val="nil"/>
              <w:right w:val="nil"/>
            </w:tcBorders>
            <w:shd w:val="clear" w:color="auto" w:fill="auto"/>
            <w:noWrap/>
            <w:vAlign w:val="bottom"/>
            <w:hideMark/>
          </w:tcPr>
          <w:p w14:paraId="104F806C"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14.5</w:t>
            </w:r>
          </w:p>
        </w:tc>
      </w:tr>
      <w:tr w:rsidR="003B5831" w:rsidRPr="00BE3C8B" w14:paraId="609668E2" w14:textId="77777777" w:rsidTr="001A235F">
        <w:trPr>
          <w:trHeight w:val="270"/>
        </w:trPr>
        <w:tc>
          <w:tcPr>
            <w:tcW w:w="2608" w:type="dxa"/>
            <w:tcBorders>
              <w:top w:val="nil"/>
              <w:left w:val="nil"/>
              <w:bottom w:val="nil"/>
              <w:right w:val="nil"/>
            </w:tcBorders>
            <w:shd w:val="clear" w:color="auto" w:fill="auto"/>
            <w:noWrap/>
            <w:vAlign w:val="bottom"/>
            <w:hideMark/>
          </w:tcPr>
          <w:p w14:paraId="3E1DB1CA" w14:textId="77777777" w:rsidR="003B5831" w:rsidRPr="00BE3C8B" w:rsidRDefault="003B5831" w:rsidP="001A235F">
            <w:pPr>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Return on equity (%)</w:t>
            </w:r>
          </w:p>
        </w:tc>
        <w:tc>
          <w:tcPr>
            <w:tcW w:w="1439" w:type="dxa"/>
            <w:gridSpan w:val="2"/>
            <w:tcBorders>
              <w:top w:val="nil"/>
              <w:left w:val="nil"/>
              <w:bottom w:val="nil"/>
              <w:right w:val="nil"/>
            </w:tcBorders>
            <w:shd w:val="clear" w:color="auto" w:fill="auto"/>
            <w:noWrap/>
            <w:vAlign w:val="bottom"/>
            <w:hideMark/>
          </w:tcPr>
          <w:p w14:paraId="143A6BC6" w14:textId="77777777" w:rsidR="003B5831" w:rsidRPr="00BE3C8B" w:rsidRDefault="003B5831" w:rsidP="001A235F">
            <w:pPr>
              <w:rPr>
                <w:rFonts w:ascii="Charter" w:eastAsia="Times New Roman" w:hAnsi="Charter" w:cs="Calibri"/>
                <w:color w:val="000000"/>
                <w:szCs w:val="20"/>
                <w:lang w:eastAsia="en-GB"/>
              </w:rPr>
            </w:pPr>
          </w:p>
        </w:tc>
        <w:tc>
          <w:tcPr>
            <w:tcW w:w="236" w:type="dxa"/>
            <w:tcBorders>
              <w:top w:val="nil"/>
              <w:left w:val="nil"/>
              <w:bottom w:val="nil"/>
              <w:right w:val="nil"/>
            </w:tcBorders>
            <w:shd w:val="clear" w:color="auto" w:fill="auto"/>
            <w:noWrap/>
            <w:vAlign w:val="bottom"/>
            <w:hideMark/>
          </w:tcPr>
          <w:p w14:paraId="20455928" w14:textId="77777777" w:rsidR="003B5831" w:rsidRPr="00BE3C8B" w:rsidRDefault="003B5831" w:rsidP="001A235F">
            <w:pPr>
              <w:rPr>
                <w:rFonts w:ascii="Charter" w:eastAsia="Times New Roman" w:hAnsi="Charter" w:cs="Calibri"/>
                <w:color w:val="000000"/>
                <w:szCs w:val="20"/>
                <w:lang w:eastAsia="en-GB"/>
              </w:rPr>
            </w:pPr>
          </w:p>
        </w:tc>
        <w:tc>
          <w:tcPr>
            <w:tcW w:w="1479" w:type="dxa"/>
            <w:tcBorders>
              <w:top w:val="nil"/>
              <w:left w:val="nil"/>
              <w:bottom w:val="nil"/>
              <w:right w:val="nil"/>
            </w:tcBorders>
            <w:shd w:val="clear" w:color="auto" w:fill="auto"/>
            <w:noWrap/>
            <w:vAlign w:val="bottom"/>
            <w:hideMark/>
          </w:tcPr>
          <w:p w14:paraId="1F7A1F49"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Pr>
                <w:rFonts w:ascii="Charter" w:eastAsia="Times New Roman" w:hAnsi="Charter" w:cs="Calibri"/>
                <w:color w:val="000000"/>
                <w:szCs w:val="20"/>
                <w:lang w:eastAsia="en-GB"/>
              </w:rPr>
              <w:t>13.3</w:t>
            </w:r>
          </w:p>
        </w:tc>
        <w:tc>
          <w:tcPr>
            <w:tcW w:w="266" w:type="dxa"/>
            <w:tcBorders>
              <w:top w:val="nil"/>
              <w:left w:val="nil"/>
              <w:bottom w:val="nil"/>
              <w:right w:val="nil"/>
            </w:tcBorders>
            <w:shd w:val="clear" w:color="auto" w:fill="auto"/>
            <w:noWrap/>
          </w:tcPr>
          <w:p w14:paraId="2B0EFF80" w14:textId="77777777" w:rsidR="003B5831" w:rsidRPr="00BE3C8B" w:rsidRDefault="003B5831" w:rsidP="001A235F">
            <w:pPr>
              <w:spacing w:line="276" w:lineRule="auto"/>
              <w:jc w:val="right"/>
              <w:rPr>
                <w:rFonts w:ascii="Charter" w:eastAsia="Times New Roman" w:hAnsi="Charter" w:cs="Calibri"/>
                <w:color w:val="000000"/>
                <w:szCs w:val="20"/>
                <w:lang w:eastAsia="en-GB"/>
              </w:rPr>
            </w:pPr>
          </w:p>
        </w:tc>
        <w:tc>
          <w:tcPr>
            <w:tcW w:w="1485" w:type="dxa"/>
            <w:tcBorders>
              <w:top w:val="nil"/>
              <w:left w:val="nil"/>
              <w:bottom w:val="nil"/>
              <w:right w:val="nil"/>
            </w:tcBorders>
          </w:tcPr>
          <w:p w14:paraId="796C8C04"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1</w:t>
            </w:r>
            <w:r>
              <w:rPr>
                <w:rFonts w:ascii="Charter" w:eastAsia="Times New Roman" w:hAnsi="Charter" w:cs="Calibri"/>
                <w:color w:val="000000"/>
                <w:szCs w:val="20"/>
                <w:lang w:eastAsia="en-GB"/>
              </w:rPr>
              <w:t>3.0</w:t>
            </w:r>
          </w:p>
        </w:tc>
        <w:tc>
          <w:tcPr>
            <w:tcW w:w="1514" w:type="dxa"/>
            <w:tcBorders>
              <w:top w:val="nil"/>
              <w:left w:val="nil"/>
              <w:bottom w:val="nil"/>
              <w:right w:val="nil"/>
            </w:tcBorders>
            <w:shd w:val="clear" w:color="auto" w:fill="auto"/>
            <w:noWrap/>
            <w:vAlign w:val="bottom"/>
            <w:hideMark/>
          </w:tcPr>
          <w:p w14:paraId="54447056" w14:textId="77777777" w:rsidR="003B5831" w:rsidRPr="00BE3C8B" w:rsidRDefault="003B5831" w:rsidP="001A235F">
            <w:pPr>
              <w:spacing w:line="276" w:lineRule="auto"/>
              <w:jc w:val="right"/>
              <w:rPr>
                <w:rFonts w:ascii="Charter" w:eastAsia="Times New Roman" w:hAnsi="Charter" w:cs="Calibri"/>
                <w:color w:val="000000"/>
                <w:szCs w:val="20"/>
                <w:lang w:eastAsia="en-GB"/>
              </w:rPr>
            </w:pPr>
            <w:r w:rsidRPr="00BE3C8B">
              <w:rPr>
                <w:rFonts w:ascii="Charter" w:eastAsia="Times New Roman" w:hAnsi="Charter" w:cs="Calibri"/>
                <w:color w:val="000000"/>
                <w:szCs w:val="20"/>
                <w:lang w:eastAsia="en-GB"/>
              </w:rPr>
              <w:t>1</w:t>
            </w:r>
            <w:r>
              <w:rPr>
                <w:rFonts w:ascii="Charter" w:eastAsia="Times New Roman" w:hAnsi="Charter" w:cs="Calibri"/>
                <w:color w:val="000000"/>
                <w:szCs w:val="20"/>
                <w:lang w:eastAsia="en-GB"/>
              </w:rPr>
              <w:t>3.6</w:t>
            </w:r>
          </w:p>
        </w:tc>
      </w:tr>
    </w:tbl>
    <w:p w14:paraId="64D6FB97" w14:textId="77777777" w:rsidR="00271FC8" w:rsidRPr="00271FC8" w:rsidRDefault="00271FC8" w:rsidP="00271FC8">
      <w:pPr>
        <w:autoSpaceDE w:val="0"/>
        <w:autoSpaceDN w:val="0"/>
        <w:adjustRightInd w:val="0"/>
        <w:spacing w:after="100" w:line="246" w:lineRule="atLeast"/>
        <w:jc w:val="both"/>
        <w:rPr>
          <w:rFonts w:ascii="Charter" w:eastAsia="Times New Roman" w:hAnsi="Charter" w:cs="Calibri"/>
          <w:b/>
          <w:szCs w:val="20"/>
        </w:rPr>
      </w:pPr>
    </w:p>
    <w:p w14:paraId="267EBB88" w14:textId="77777777" w:rsidR="00271FC8" w:rsidRPr="00271FC8" w:rsidRDefault="00271FC8" w:rsidP="00271FC8">
      <w:pPr>
        <w:autoSpaceDE w:val="0"/>
        <w:autoSpaceDN w:val="0"/>
        <w:adjustRightInd w:val="0"/>
        <w:spacing w:after="120"/>
        <w:rPr>
          <w:rFonts w:ascii="Charter" w:eastAsia="Times New Roman" w:hAnsi="Charter" w:cs="Times New Roman"/>
          <w:b/>
          <w:color w:val="3F2C59"/>
          <w:szCs w:val="20"/>
        </w:rPr>
      </w:pPr>
      <w:r w:rsidRPr="00271FC8">
        <w:rPr>
          <w:rFonts w:ascii="Charter" w:eastAsia="Times New Roman" w:hAnsi="Charter" w:cs="Times New Roman"/>
          <w:b/>
          <w:color w:val="3F2C59"/>
          <w:szCs w:val="20"/>
        </w:rPr>
        <w:t>Operational highlights</w:t>
      </w:r>
    </w:p>
    <w:p w14:paraId="7F076937" w14:textId="77777777" w:rsidR="003B5831" w:rsidRPr="00920EF8" w:rsidRDefault="003B5831" w:rsidP="003B5831">
      <w:pPr>
        <w:pStyle w:val="BulletedList"/>
        <w:numPr>
          <w:ilvl w:val="0"/>
          <w:numId w:val="2"/>
        </w:numPr>
        <w:spacing w:after="100"/>
        <w:ind w:hanging="357"/>
        <w:rPr>
          <w:rFonts w:ascii="Charter" w:hAnsi="Charter"/>
        </w:rPr>
      </w:pPr>
      <w:r>
        <w:rPr>
          <w:rFonts w:ascii="Charter" w:hAnsi="Charter"/>
          <w:color w:val="3F2C59"/>
          <w:szCs w:val="20"/>
        </w:rPr>
        <w:t>Continued to shape our business for the future</w:t>
      </w:r>
    </w:p>
    <w:p w14:paraId="5A5C637B" w14:textId="77777777" w:rsidR="003B5831" w:rsidRPr="00920EF8" w:rsidRDefault="003B5831" w:rsidP="003B5831">
      <w:pPr>
        <w:pStyle w:val="ListParagraph"/>
        <w:numPr>
          <w:ilvl w:val="1"/>
          <w:numId w:val="2"/>
        </w:numPr>
        <w:spacing w:after="100" w:line="259" w:lineRule="auto"/>
        <w:ind w:left="850" w:hanging="357"/>
        <w:contextualSpacing w:val="0"/>
        <w:jc w:val="both"/>
        <w:rPr>
          <w:rFonts w:ascii="Charter" w:eastAsia="Times New Roman" w:hAnsi="Charter" w:cs="Times New Roman"/>
          <w:sz w:val="20"/>
          <w:szCs w:val="20"/>
        </w:rPr>
      </w:pPr>
      <w:r w:rsidRPr="00920EF8">
        <w:rPr>
          <w:rFonts w:ascii="Charter" w:hAnsi="Charter"/>
          <w:sz w:val="20"/>
          <w:szCs w:val="24"/>
        </w:rPr>
        <w:t xml:space="preserve">Richard Rowntree </w:t>
      </w:r>
      <w:r w:rsidRPr="00920EF8">
        <w:rPr>
          <w:rFonts w:ascii="Charter" w:eastAsia="Times New Roman" w:hAnsi="Charter" w:cs="Times New Roman"/>
          <w:sz w:val="20"/>
          <w:szCs w:val="20"/>
        </w:rPr>
        <w:t>announced as new Chief Executive Officer</w:t>
      </w:r>
      <w:r>
        <w:rPr>
          <w:rFonts w:ascii="Charter" w:eastAsia="Times New Roman" w:hAnsi="Charter" w:cs="Times New Roman"/>
          <w:sz w:val="20"/>
          <w:szCs w:val="20"/>
        </w:rPr>
        <w:t xml:space="preserve"> and Executive Director commencing 25 November 2024</w:t>
      </w:r>
      <w:r w:rsidRPr="00920EF8">
        <w:rPr>
          <w:rFonts w:ascii="Charter" w:eastAsia="Times New Roman" w:hAnsi="Charter" w:cs="Times New Roman"/>
          <w:sz w:val="20"/>
          <w:szCs w:val="20"/>
        </w:rPr>
        <w:t xml:space="preserve">  </w:t>
      </w:r>
    </w:p>
    <w:p w14:paraId="2561534E" w14:textId="77777777" w:rsidR="003B5831" w:rsidRPr="00920EF8" w:rsidRDefault="003B5831" w:rsidP="003B5831">
      <w:pPr>
        <w:pStyle w:val="ListParagraph"/>
        <w:numPr>
          <w:ilvl w:val="1"/>
          <w:numId w:val="2"/>
        </w:numPr>
        <w:spacing w:after="100" w:line="259" w:lineRule="auto"/>
        <w:ind w:left="850" w:hanging="357"/>
        <w:contextualSpacing w:val="0"/>
        <w:jc w:val="both"/>
        <w:rPr>
          <w:rFonts w:ascii="Charter" w:hAnsi="Charter"/>
          <w:sz w:val="20"/>
          <w:szCs w:val="24"/>
        </w:rPr>
      </w:pPr>
      <w:r w:rsidRPr="00920EF8">
        <w:rPr>
          <w:rFonts w:ascii="Charter" w:eastAsia="Times New Roman" w:hAnsi="Charter" w:cs="Times New Roman"/>
          <w:sz w:val="20"/>
          <w:szCs w:val="20"/>
        </w:rPr>
        <w:t>Chris Adams promoted to Chief Financial</w:t>
      </w:r>
      <w:r w:rsidRPr="00920EF8">
        <w:rPr>
          <w:rFonts w:ascii="Charter" w:hAnsi="Charter"/>
          <w:sz w:val="20"/>
          <w:szCs w:val="24"/>
        </w:rPr>
        <w:t xml:space="preserve"> Officer</w:t>
      </w:r>
      <w:r>
        <w:rPr>
          <w:rFonts w:ascii="Charter" w:hAnsi="Charter"/>
          <w:sz w:val="20"/>
          <w:szCs w:val="24"/>
        </w:rPr>
        <w:t xml:space="preserve"> and Executive Director</w:t>
      </w:r>
      <w:r w:rsidRPr="00920EF8">
        <w:rPr>
          <w:rFonts w:ascii="Charter" w:hAnsi="Charter"/>
          <w:sz w:val="20"/>
          <w:szCs w:val="24"/>
        </w:rPr>
        <w:t xml:space="preserve"> in October 2024</w:t>
      </w:r>
    </w:p>
    <w:p w14:paraId="21C5A736" w14:textId="77777777" w:rsidR="003B5831" w:rsidRPr="00920EF8" w:rsidRDefault="003B5831" w:rsidP="003B5831">
      <w:pPr>
        <w:pStyle w:val="ListParagraph"/>
        <w:numPr>
          <w:ilvl w:val="1"/>
          <w:numId w:val="2"/>
        </w:numPr>
        <w:spacing w:after="160" w:line="259" w:lineRule="auto"/>
        <w:ind w:left="850" w:hanging="357"/>
        <w:contextualSpacing w:val="0"/>
        <w:jc w:val="both"/>
        <w:rPr>
          <w:rFonts w:ascii="Charter" w:hAnsi="Charter"/>
          <w:sz w:val="20"/>
          <w:szCs w:val="24"/>
        </w:rPr>
      </w:pPr>
      <w:r w:rsidRPr="00920EF8">
        <w:rPr>
          <w:rFonts w:ascii="Charter" w:hAnsi="Charter"/>
          <w:sz w:val="20"/>
          <w:szCs w:val="24"/>
        </w:rPr>
        <w:t>John Barker promoted to CEO of Personal Finance division in October 2024</w:t>
      </w:r>
    </w:p>
    <w:p w14:paraId="36AC8E39" w14:textId="77777777" w:rsidR="003B5831" w:rsidRPr="00920EF8" w:rsidRDefault="003B5831" w:rsidP="003B5831">
      <w:pPr>
        <w:pStyle w:val="BulletedList"/>
        <w:numPr>
          <w:ilvl w:val="0"/>
          <w:numId w:val="2"/>
        </w:numPr>
        <w:spacing w:after="100"/>
        <w:ind w:hanging="357"/>
        <w:rPr>
          <w:rFonts w:ascii="Charter" w:hAnsi="Charter"/>
        </w:rPr>
      </w:pPr>
      <w:r w:rsidRPr="00920EF8">
        <w:rPr>
          <w:rFonts w:ascii="Charter" w:hAnsi="Charter"/>
        </w:rPr>
        <w:t xml:space="preserve">Maintained funding momentum to support growth plans, raising or refinancing over £1bn during </w:t>
      </w:r>
      <w:r>
        <w:rPr>
          <w:rFonts w:ascii="Charter" w:hAnsi="Charter"/>
        </w:rPr>
        <w:t xml:space="preserve">the </w:t>
      </w:r>
      <w:r w:rsidRPr="00920EF8">
        <w:rPr>
          <w:rFonts w:ascii="Charter" w:hAnsi="Charter"/>
        </w:rPr>
        <w:t>quarter</w:t>
      </w:r>
    </w:p>
    <w:p w14:paraId="14D8DEC0" w14:textId="77777777" w:rsidR="003B5831" w:rsidRPr="00920EF8" w:rsidRDefault="003B5831" w:rsidP="003B5831">
      <w:pPr>
        <w:pStyle w:val="BulletedList"/>
        <w:numPr>
          <w:ilvl w:val="4"/>
          <w:numId w:val="1"/>
        </w:numPr>
        <w:spacing w:after="100"/>
        <w:ind w:left="850" w:hanging="357"/>
        <w:rPr>
          <w:rFonts w:ascii="Charter" w:hAnsi="Charter"/>
        </w:rPr>
      </w:pPr>
      <w:r w:rsidRPr="00920EF8">
        <w:rPr>
          <w:rFonts w:ascii="Charter" w:hAnsi="Charter"/>
        </w:rPr>
        <w:t>Upsized DABS bridging facility from £400m to £600m in September 2024</w:t>
      </w:r>
    </w:p>
    <w:p w14:paraId="5EE62E82" w14:textId="77777777" w:rsidR="003B5831" w:rsidRDefault="003B5831" w:rsidP="003B5831">
      <w:pPr>
        <w:pStyle w:val="BulletedList"/>
        <w:numPr>
          <w:ilvl w:val="4"/>
          <w:numId w:val="1"/>
        </w:numPr>
        <w:spacing w:after="100"/>
        <w:ind w:left="850" w:hanging="357"/>
        <w:rPr>
          <w:rFonts w:ascii="Charter" w:hAnsi="Charter"/>
        </w:rPr>
      </w:pPr>
      <w:r w:rsidRPr="00920EF8">
        <w:rPr>
          <w:rFonts w:ascii="Charter" w:hAnsi="Charter"/>
        </w:rPr>
        <w:t>Issued third RMBS of 2024, TABS 12, raising £445m in September 2024</w:t>
      </w:r>
    </w:p>
    <w:p w14:paraId="3F932B5C" w14:textId="77777777" w:rsidR="003B5831" w:rsidRPr="00920EF8" w:rsidRDefault="003B5831" w:rsidP="003B5831">
      <w:pPr>
        <w:pStyle w:val="BulletedList"/>
        <w:numPr>
          <w:ilvl w:val="4"/>
          <w:numId w:val="1"/>
        </w:numPr>
        <w:spacing w:after="220"/>
        <w:ind w:left="850" w:hanging="357"/>
        <w:rPr>
          <w:rFonts w:ascii="Charter" w:hAnsi="Charter"/>
        </w:rPr>
      </w:pPr>
      <w:r>
        <w:rPr>
          <w:rFonts w:ascii="Charter" w:hAnsi="Charter"/>
        </w:rPr>
        <w:t>Upsized LABS facility to £1bn in November 2024</w:t>
      </w:r>
    </w:p>
    <w:p w14:paraId="0BF3451D" w14:textId="77777777" w:rsidR="003B5831" w:rsidRDefault="003B5831" w:rsidP="003B5831">
      <w:pPr>
        <w:pStyle w:val="BulletedList"/>
        <w:numPr>
          <w:ilvl w:val="0"/>
          <w:numId w:val="2"/>
        </w:numPr>
        <w:spacing w:after="160"/>
        <w:ind w:left="357" w:hanging="357"/>
        <w:rPr>
          <w:rFonts w:ascii="Charter" w:hAnsi="Charter"/>
        </w:rPr>
      </w:pPr>
      <w:r w:rsidRPr="00920EF8">
        <w:rPr>
          <w:rFonts w:ascii="Charter" w:hAnsi="Charter"/>
        </w:rPr>
        <w:t xml:space="preserve">Included in </w:t>
      </w:r>
      <w:r>
        <w:rPr>
          <w:rFonts w:ascii="Charter" w:hAnsi="Charter"/>
        </w:rPr>
        <w:t xml:space="preserve">the </w:t>
      </w:r>
      <w:r w:rsidRPr="00920EF8">
        <w:rPr>
          <w:rFonts w:ascii="Charter" w:hAnsi="Charter"/>
        </w:rPr>
        <w:t>Financial Times ‘Europe’s Long-term Growth Champions’ ranking of the 300 companies across Europe with the highest disclosed compound annual growth rates between 2013 and 2023</w:t>
      </w:r>
    </w:p>
    <w:p w14:paraId="0EAF111A" w14:textId="77777777" w:rsidR="003B5831" w:rsidRPr="00920EF8" w:rsidRDefault="003B5831" w:rsidP="003B5831">
      <w:pPr>
        <w:pStyle w:val="BulletedList"/>
        <w:numPr>
          <w:ilvl w:val="0"/>
          <w:numId w:val="2"/>
        </w:numPr>
        <w:spacing w:after="160"/>
        <w:ind w:left="357" w:hanging="357"/>
        <w:rPr>
          <w:rFonts w:ascii="Charter" w:hAnsi="Charter"/>
        </w:rPr>
      </w:pPr>
      <w:r>
        <w:rPr>
          <w:rFonts w:ascii="Charter" w:hAnsi="Charter"/>
        </w:rPr>
        <w:t>Awarded Investors in People Award 2024 for Best Newcomer, organisations with over 250 employees</w:t>
      </w:r>
    </w:p>
    <w:p w14:paraId="29B624DF" w14:textId="4C325DA6" w:rsidR="00D83477" w:rsidRPr="003B5831" w:rsidRDefault="003B5831" w:rsidP="00D83477">
      <w:pPr>
        <w:pStyle w:val="BulletedList"/>
        <w:numPr>
          <w:ilvl w:val="0"/>
          <w:numId w:val="2"/>
        </w:numPr>
        <w:spacing w:line="276" w:lineRule="auto"/>
        <w:ind w:hanging="357"/>
        <w:contextualSpacing/>
        <w:rPr>
          <w:rFonts w:ascii="Charter" w:eastAsia="Times New Roman" w:hAnsi="Charter" w:cs="Times New Roman"/>
        </w:rPr>
      </w:pPr>
      <w:r w:rsidRPr="003B5831">
        <w:rPr>
          <w:rFonts w:ascii="Charter" w:hAnsi="Charter"/>
        </w:rPr>
        <w:lastRenderedPageBreak/>
        <w:t>Published 2024-25 Residential Property Market Report (</w:t>
      </w:r>
      <w:hyperlink r:id="rId10" w:history="1">
        <w:r w:rsidRPr="003B5831">
          <w:rPr>
            <w:rStyle w:val="Hyperlink"/>
            <w:rFonts w:ascii="Charter" w:hAnsi="Charter"/>
          </w:rPr>
          <w:t>https://togethermoney.com/blog/is-this-the-road-to-residential-revival-find-out-first-in-our-new-report</w:t>
        </w:r>
      </w:hyperlink>
      <w:r w:rsidRPr="003B5831">
        <w:rPr>
          <w:rFonts w:ascii="Charter" w:hAnsi="Charter"/>
        </w:rPr>
        <w:t>) in October</w:t>
      </w:r>
    </w:p>
    <w:p w14:paraId="437D617D" w14:textId="77777777" w:rsidR="00D83477" w:rsidRPr="00D83477" w:rsidRDefault="00D83477" w:rsidP="00D83477">
      <w:pPr>
        <w:widowControl w:val="0"/>
        <w:autoSpaceDE w:val="0"/>
        <w:autoSpaceDN w:val="0"/>
        <w:ind w:left="120"/>
        <w:rPr>
          <w:rFonts w:ascii="Charter" w:eastAsia="Times New Roman" w:hAnsi="Charter" w:cs="Times New Roman"/>
          <w:b/>
          <w:bCs/>
          <w:color w:val="3F2C59"/>
          <w:szCs w:val="20"/>
          <w:lang w:val="en-US"/>
        </w:rPr>
      </w:pPr>
      <w:r w:rsidRPr="00D83477">
        <w:rPr>
          <w:rFonts w:ascii="Charter" w:eastAsia="Times New Roman" w:hAnsi="Charter" w:cs="Times New Roman"/>
          <w:b/>
          <w:bCs/>
          <w:color w:val="3F2C59"/>
          <w:szCs w:val="20"/>
          <w:lang w:val="en-US"/>
        </w:rPr>
        <w:t>Q1 2024/25 Results Presentation</w:t>
      </w:r>
    </w:p>
    <w:p w14:paraId="3C11BF11" w14:textId="77777777" w:rsidR="00D83477" w:rsidRPr="00D83477" w:rsidRDefault="00D83477" w:rsidP="00D83477">
      <w:pPr>
        <w:widowControl w:val="0"/>
        <w:autoSpaceDE w:val="0"/>
        <w:autoSpaceDN w:val="0"/>
        <w:spacing w:before="179" w:line="259" w:lineRule="auto"/>
        <w:ind w:left="120" w:right="109"/>
        <w:rPr>
          <w:rFonts w:ascii="Charter" w:eastAsia="Times New Roman" w:hAnsi="Charter" w:cs="Times New Roman"/>
        </w:rPr>
      </w:pPr>
      <w:r w:rsidRPr="00D83477">
        <w:rPr>
          <w:rFonts w:ascii="Charter" w:eastAsia="Times New Roman" w:hAnsi="Charter" w:cs="Times New Roman"/>
        </w:rPr>
        <w:t xml:space="preserve">Together will be presenting its Q1 2024/25 results via audio </w:t>
      </w:r>
      <w:r w:rsidR="005E1BD7" w:rsidRPr="005E1BD7">
        <w:rPr>
          <w:rFonts w:ascii="Charter" w:eastAsia="Times New Roman" w:hAnsi="Charter" w:cs="Times New Roman"/>
        </w:rPr>
        <w:t>webcast</w:t>
      </w:r>
      <w:r w:rsidRPr="00D83477">
        <w:rPr>
          <w:rFonts w:ascii="Charter" w:eastAsia="Times New Roman" w:hAnsi="Charter" w:cs="Times New Roman"/>
        </w:rPr>
        <w:t xml:space="preserve"> at </w:t>
      </w:r>
      <w:r w:rsidRPr="00D83477">
        <w:rPr>
          <w:rFonts w:ascii="Charter" w:eastAsia="Times New Roman" w:hAnsi="Charter" w:cs="Times New Roman"/>
          <w:b/>
        </w:rPr>
        <w:t>14:00 GMT (09:00 EST)</w:t>
      </w:r>
      <w:r w:rsidR="005E1BD7" w:rsidRPr="005E1BD7">
        <w:rPr>
          <w:rFonts w:ascii="Charter" w:eastAsia="Times New Roman" w:hAnsi="Charter" w:cs="Times New Roman"/>
          <w:b/>
        </w:rPr>
        <w:t xml:space="preserve"> today</w:t>
      </w:r>
      <w:r w:rsidRPr="00D83477">
        <w:rPr>
          <w:rFonts w:ascii="Charter" w:eastAsia="Times New Roman" w:hAnsi="Charter" w:cs="Times New Roman"/>
        </w:rPr>
        <w:t>, for the quarter ended September 30, 2024.</w:t>
      </w:r>
    </w:p>
    <w:p w14:paraId="0FDBD408" w14:textId="77777777" w:rsidR="00D83477" w:rsidRPr="00D83477" w:rsidRDefault="00D83477" w:rsidP="00D83477">
      <w:pPr>
        <w:widowControl w:val="0"/>
        <w:autoSpaceDE w:val="0"/>
        <w:autoSpaceDN w:val="0"/>
        <w:spacing w:before="160" w:line="259" w:lineRule="auto"/>
        <w:ind w:left="120" w:right="109" w:hanging="1"/>
        <w:rPr>
          <w:rFonts w:ascii="Charter" w:eastAsia="Times New Roman" w:hAnsi="Charter" w:cs="Times New Roman"/>
        </w:rPr>
      </w:pPr>
      <w:r w:rsidRPr="00D83477">
        <w:rPr>
          <w:rFonts w:ascii="Charter" w:eastAsia="Times New Roman" w:hAnsi="Charter" w:cs="Times New Roman"/>
        </w:rPr>
        <w:t>The presentation for analysts and investors is expected to last for approximately 35 minutes, followed by a Q&amp;A.</w:t>
      </w:r>
    </w:p>
    <w:p w14:paraId="7F61FD1C" w14:textId="77777777" w:rsidR="00D83477" w:rsidRPr="00D83477" w:rsidRDefault="00D83477" w:rsidP="00D83477">
      <w:pPr>
        <w:widowControl w:val="0"/>
        <w:autoSpaceDE w:val="0"/>
        <w:autoSpaceDN w:val="0"/>
        <w:spacing w:before="159" w:line="259" w:lineRule="auto"/>
        <w:ind w:left="120"/>
        <w:rPr>
          <w:rFonts w:ascii="Charter" w:eastAsia="Calibri" w:hAnsi="Charter" w:cs="Calibri"/>
          <w:szCs w:val="20"/>
          <w:lang w:val="en-US"/>
        </w:rPr>
      </w:pPr>
      <w:r w:rsidRPr="00D83477">
        <w:rPr>
          <w:rFonts w:ascii="Charter" w:eastAsia="Calibri" w:hAnsi="Charter" w:cs="Calibri"/>
          <w:szCs w:val="20"/>
          <w:lang w:val="en-US"/>
        </w:rPr>
        <w:t>The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slides</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will</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be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available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on</w:t>
      </w:r>
      <w:r w:rsidRPr="00D83477">
        <w:rPr>
          <w:rFonts w:ascii="Charter" w:eastAsia="Calibri" w:hAnsi="Charter" w:cs="Calibri"/>
          <w:spacing w:val="-4"/>
          <w:szCs w:val="20"/>
          <w:lang w:val="en-US"/>
        </w:rPr>
        <w:t xml:space="preserve"> </w:t>
      </w:r>
      <w:r w:rsidRPr="00D83477">
        <w:rPr>
          <w:rFonts w:ascii="Charter" w:eastAsia="Calibri" w:hAnsi="Charter" w:cs="Calibri"/>
          <w:szCs w:val="20"/>
          <w:lang w:val="en-US"/>
        </w:rPr>
        <w:t>the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Investor</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Relations</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website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w:t>
      </w:r>
      <w:hyperlink r:id="rId11">
        <w:r w:rsidRPr="00D83477">
          <w:rPr>
            <w:rFonts w:ascii="Charter" w:eastAsia="Calibri" w:hAnsi="Charter" w:cs="Calibri"/>
            <w:color w:val="0562C1"/>
            <w:szCs w:val="20"/>
            <w:u w:val="single" w:color="0562C1"/>
            <w:lang w:val="en-US"/>
          </w:rPr>
          <w:t>https://investors.togethermoney.com/</w:t>
        </w:r>
      </w:hyperlink>
      <w:r w:rsidRPr="00D83477">
        <w:rPr>
          <w:rFonts w:ascii="Charter" w:eastAsia="Calibri" w:hAnsi="Charter" w:cs="Calibri"/>
          <w:szCs w:val="20"/>
          <w:lang w:val="en-US"/>
        </w:rPr>
        <w:t>)</w:t>
      </w:r>
      <w:r w:rsidRPr="00D83477">
        <w:rPr>
          <w:rFonts w:ascii="Charter" w:eastAsia="Calibri" w:hAnsi="Charter" w:cs="Calibri"/>
          <w:spacing w:val="-4"/>
          <w:szCs w:val="20"/>
          <w:lang w:val="en-US"/>
        </w:rPr>
        <w:t xml:space="preserve"> </w:t>
      </w:r>
      <w:r w:rsidRPr="00D83477">
        <w:rPr>
          <w:rFonts w:ascii="Charter" w:eastAsia="Calibri" w:hAnsi="Charter" w:cs="Calibri"/>
          <w:szCs w:val="20"/>
          <w:lang w:val="en-US"/>
        </w:rPr>
        <w:t>ahead</w:t>
      </w:r>
      <w:r w:rsidRPr="00D83477">
        <w:rPr>
          <w:rFonts w:ascii="Charter" w:eastAsia="Calibri" w:hAnsi="Charter" w:cs="Calibri"/>
          <w:spacing w:val="-4"/>
          <w:szCs w:val="20"/>
          <w:lang w:val="en-US"/>
        </w:rPr>
        <w:t xml:space="preserve"> </w:t>
      </w:r>
      <w:r w:rsidRPr="00D83477">
        <w:rPr>
          <w:rFonts w:ascii="Charter" w:eastAsia="Calibri" w:hAnsi="Charter" w:cs="Calibri"/>
          <w:szCs w:val="20"/>
          <w:lang w:val="en-US"/>
        </w:rPr>
        <w:t>of the presentation.</w:t>
      </w:r>
    </w:p>
    <w:p w14:paraId="6D3822F1" w14:textId="77777777" w:rsidR="005E1BD7" w:rsidRPr="00D83477" w:rsidRDefault="00D83477" w:rsidP="005E1BD7">
      <w:pPr>
        <w:widowControl w:val="0"/>
        <w:autoSpaceDE w:val="0"/>
        <w:autoSpaceDN w:val="0"/>
        <w:spacing w:before="160" w:line="376" w:lineRule="auto"/>
        <w:ind w:left="120" w:right="2156" w:hanging="1"/>
        <w:rPr>
          <w:rFonts w:ascii="Charter" w:eastAsia="Calibri" w:hAnsi="Charter" w:cs="Calibri"/>
          <w:color w:val="0562C1"/>
          <w:szCs w:val="20"/>
          <w:u w:color="0562C1"/>
          <w:lang w:val="en-US"/>
        </w:rPr>
      </w:pPr>
      <w:r w:rsidRPr="00D83477">
        <w:rPr>
          <w:rFonts w:ascii="Charter" w:eastAsia="Calibri" w:hAnsi="Charter" w:cs="Calibri"/>
          <w:szCs w:val="20"/>
          <w:lang w:val="en-US"/>
        </w:rPr>
        <w:t>The</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live</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audio</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webcast</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for</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the</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Q1</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24/25</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results</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will</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be</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available</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via</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the</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following</w:t>
      </w:r>
      <w:r w:rsidR="005E1BD7">
        <w:rPr>
          <w:rFonts w:ascii="Charter" w:eastAsia="Calibri" w:hAnsi="Charter" w:cs="Calibri"/>
          <w:spacing w:val="-2"/>
          <w:szCs w:val="20"/>
          <w:lang w:val="en-US"/>
        </w:rPr>
        <w:t xml:space="preserve"> l</w:t>
      </w:r>
      <w:r w:rsidR="005E1BD7">
        <w:rPr>
          <w:rFonts w:ascii="Charter" w:eastAsia="Calibri" w:hAnsi="Charter" w:cs="Calibri"/>
          <w:szCs w:val="20"/>
          <w:lang w:val="en-US"/>
        </w:rPr>
        <w:t xml:space="preserve">ink: </w:t>
      </w:r>
      <w:hyperlink r:id="rId12" w:history="1">
        <w:r w:rsidRPr="00D83477">
          <w:rPr>
            <w:rFonts w:ascii="Charter" w:eastAsia="Calibri" w:hAnsi="Charter" w:cs="Calibri"/>
            <w:color w:val="0562C1"/>
            <w:szCs w:val="20"/>
            <w:u w:val="single" w:color="0562C1"/>
            <w:lang w:val="en-US"/>
          </w:rPr>
          <w:t>https://www.investis-live.com/together/670e8ca19bcff0000e50a68f/nfghe</w:t>
        </w:r>
      </w:hyperlink>
    </w:p>
    <w:p w14:paraId="1DA1567D" w14:textId="77777777" w:rsidR="00D83477" w:rsidRPr="00D83477" w:rsidRDefault="00D83477" w:rsidP="00D83477">
      <w:pPr>
        <w:widowControl w:val="0"/>
        <w:autoSpaceDE w:val="0"/>
        <w:autoSpaceDN w:val="0"/>
        <w:spacing w:before="120"/>
        <w:ind w:left="120"/>
        <w:rPr>
          <w:rFonts w:ascii="Charter" w:eastAsia="Calibri" w:hAnsi="Charter" w:cs="Calibri"/>
          <w:szCs w:val="20"/>
          <w:lang w:val="en-US"/>
        </w:rPr>
      </w:pPr>
      <w:r w:rsidRPr="00D83477">
        <w:rPr>
          <w:rFonts w:ascii="Charter" w:eastAsia="Calibri" w:hAnsi="Charter" w:cs="Calibri"/>
          <w:szCs w:val="20"/>
          <w:lang w:val="en-US"/>
        </w:rPr>
        <w:t>The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webcast</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will</w:t>
      </w:r>
      <w:r w:rsidRPr="00D83477">
        <w:rPr>
          <w:rFonts w:ascii="Charter" w:eastAsia="Calibri" w:hAnsi="Charter" w:cs="Calibri"/>
          <w:spacing w:val="-4"/>
          <w:szCs w:val="20"/>
          <w:lang w:val="en-US"/>
        </w:rPr>
        <w:t xml:space="preserve"> </w:t>
      </w:r>
      <w:r w:rsidRPr="00D83477">
        <w:rPr>
          <w:rFonts w:ascii="Charter" w:eastAsia="Calibri" w:hAnsi="Charter" w:cs="Calibri"/>
          <w:szCs w:val="20"/>
          <w:lang w:val="en-US"/>
        </w:rPr>
        <w:t>also</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be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accessible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via</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a</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live</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conference</w:t>
      </w:r>
      <w:r w:rsidRPr="00D83477">
        <w:rPr>
          <w:rFonts w:ascii="Charter" w:eastAsia="Calibri" w:hAnsi="Charter" w:cs="Calibri"/>
          <w:spacing w:val="-2"/>
          <w:szCs w:val="20"/>
          <w:lang w:val="en-US"/>
        </w:rPr>
        <w:t xml:space="preserve"> </w:t>
      </w:r>
      <w:r w:rsidRPr="00D83477">
        <w:rPr>
          <w:rFonts w:ascii="Charter" w:eastAsia="Calibri" w:hAnsi="Charter" w:cs="Calibri"/>
          <w:spacing w:val="-4"/>
          <w:szCs w:val="20"/>
          <w:lang w:val="en-US"/>
        </w:rPr>
        <w:t>call:</w:t>
      </w:r>
    </w:p>
    <w:p w14:paraId="517FB248" w14:textId="77777777" w:rsidR="00D83477" w:rsidRPr="00D83477" w:rsidRDefault="00D83477" w:rsidP="00D83477">
      <w:pPr>
        <w:widowControl w:val="0"/>
        <w:numPr>
          <w:ilvl w:val="0"/>
          <w:numId w:val="3"/>
        </w:numPr>
        <w:tabs>
          <w:tab w:val="left" w:pos="839"/>
        </w:tabs>
        <w:autoSpaceDE w:val="0"/>
        <w:autoSpaceDN w:val="0"/>
        <w:spacing w:before="138"/>
        <w:rPr>
          <w:rFonts w:ascii="Charter" w:eastAsia="Calibri" w:hAnsi="Charter" w:cs="Calibri"/>
          <w:szCs w:val="20"/>
          <w:lang w:val="en-US"/>
        </w:rPr>
      </w:pPr>
      <w:r w:rsidRPr="00D83477">
        <w:rPr>
          <w:rFonts w:ascii="Charter" w:eastAsia="Calibri" w:hAnsi="Charter" w:cs="Calibri"/>
          <w:szCs w:val="20"/>
          <w:lang w:val="en-US"/>
        </w:rPr>
        <w:t>Access</w:t>
      </w:r>
      <w:r w:rsidRPr="00D83477">
        <w:rPr>
          <w:rFonts w:ascii="Charter" w:eastAsia="Calibri" w:hAnsi="Charter" w:cs="Calibri"/>
          <w:spacing w:val="-4"/>
          <w:szCs w:val="20"/>
          <w:lang w:val="en-US"/>
        </w:rPr>
        <w:t xml:space="preserve"> </w:t>
      </w:r>
      <w:r w:rsidRPr="00D83477">
        <w:rPr>
          <w:rFonts w:ascii="Charter" w:eastAsia="Calibri" w:hAnsi="Charter" w:cs="Calibri"/>
          <w:szCs w:val="20"/>
          <w:lang w:val="en-US"/>
        </w:rPr>
        <w:t>code:</w:t>
      </w:r>
      <w:r w:rsidRPr="00D83477">
        <w:rPr>
          <w:rFonts w:ascii="Charter" w:eastAsia="Calibri" w:hAnsi="Charter" w:cs="Calibri"/>
          <w:spacing w:val="-3"/>
          <w:szCs w:val="20"/>
          <w:lang w:val="en-US"/>
        </w:rPr>
        <w:t xml:space="preserve"> </w:t>
      </w:r>
      <w:r w:rsidRPr="00D83477">
        <w:rPr>
          <w:rFonts w:ascii="Charter" w:eastAsia="Calibri" w:hAnsi="Charter" w:cs="Calibri"/>
          <w:spacing w:val="-4"/>
          <w:szCs w:val="20"/>
          <w:lang w:val="en-US"/>
        </w:rPr>
        <w:t>484149</w:t>
      </w:r>
    </w:p>
    <w:p w14:paraId="2AE748D4" w14:textId="77777777" w:rsidR="00D83477" w:rsidRPr="00D83477" w:rsidRDefault="00D83477" w:rsidP="00D83477">
      <w:pPr>
        <w:widowControl w:val="0"/>
        <w:numPr>
          <w:ilvl w:val="0"/>
          <w:numId w:val="3"/>
        </w:numPr>
        <w:tabs>
          <w:tab w:val="left" w:pos="839"/>
        </w:tabs>
        <w:autoSpaceDE w:val="0"/>
        <w:autoSpaceDN w:val="0"/>
        <w:spacing w:before="1" w:line="255" w:lineRule="exact"/>
        <w:rPr>
          <w:rFonts w:ascii="Charter" w:eastAsia="Calibri" w:hAnsi="Charter" w:cs="Calibri"/>
          <w:szCs w:val="20"/>
          <w:lang w:val="en-US"/>
        </w:rPr>
      </w:pPr>
      <w:r w:rsidRPr="00D83477">
        <w:rPr>
          <w:rFonts w:ascii="Charter" w:eastAsia="Calibri" w:hAnsi="Charter" w:cs="Calibri"/>
          <w:szCs w:val="20"/>
          <w:lang w:val="en-US"/>
        </w:rPr>
        <w:t>From</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the</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UK:</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+44</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(0)</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20</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3936</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2999/</w:t>
      </w:r>
      <w:r w:rsidRPr="00D83477">
        <w:rPr>
          <w:rFonts w:ascii="Charter" w:eastAsia="Calibri" w:hAnsi="Charter" w:cs="Calibri"/>
          <w:spacing w:val="-3"/>
          <w:szCs w:val="20"/>
          <w:lang w:val="en-US"/>
        </w:rPr>
        <w:t xml:space="preserve"> </w:t>
      </w:r>
      <w:r w:rsidRPr="00D83477">
        <w:rPr>
          <w:rFonts w:ascii="Charter" w:eastAsia="Calibri" w:hAnsi="Charter" w:cs="Calibri"/>
          <w:szCs w:val="20"/>
          <w:lang w:val="en-US"/>
        </w:rPr>
        <w:t>0800</w:t>
      </w:r>
      <w:r w:rsidRPr="00D83477">
        <w:rPr>
          <w:rFonts w:ascii="Charter" w:eastAsia="Calibri" w:hAnsi="Charter" w:cs="Calibri"/>
          <w:spacing w:val="-2"/>
          <w:szCs w:val="20"/>
          <w:lang w:val="en-US"/>
        </w:rPr>
        <w:t xml:space="preserve"> </w:t>
      </w:r>
      <w:r w:rsidRPr="00D83477">
        <w:rPr>
          <w:rFonts w:ascii="Charter" w:eastAsia="Calibri" w:hAnsi="Charter" w:cs="Calibri"/>
          <w:szCs w:val="20"/>
          <w:lang w:val="en-US"/>
        </w:rPr>
        <w:t>358 1035</w:t>
      </w:r>
    </w:p>
    <w:p w14:paraId="05E1AA3C" w14:textId="77777777" w:rsidR="00D83477" w:rsidRPr="00D83477" w:rsidRDefault="00D83477" w:rsidP="00D83477">
      <w:pPr>
        <w:widowControl w:val="0"/>
        <w:numPr>
          <w:ilvl w:val="0"/>
          <w:numId w:val="3"/>
        </w:numPr>
        <w:autoSpaceDE w:val="0"/>
        <w:autoSpaceDN w:val="0"/>
        <w:spacing w:line="255" w:lineRule="exact"/>
        <w:rPr>
          <w:rFonts w:ascii="Charter" w:eastAsia="Calibri" w:hAnsi="Charter" w:cs="Times New Roman"/>
          <w:szCs w:val="20"/>
          <w:u w:val="single"/>
          <w:lang w:val="en-US"/>
        </w:rPr>
      </w:pPr>
      <w:hyperlink r:id="rId13" w:history="1">
        <w:r w:rsidRPr="00D83477">
          <w:rPr>
            <w:rFonts w:ascii="Charter" w:eastAsia="Calibri" w:hAnsi="Charter" w:cs="Calibri"/>
            <w:color w:val="0562C1"/>
            <w:szCs w:val="20"/>
            <w:u w:val="single"/>
            <w:lang w:val="en-US"/>
          </w:rPr>
          <w:t>Global Dial-In Numbers</w:t>
        </w:r>
      </w:hyperlink>
    </w:p>
    <w:p w14:paraId="3D4C82A2" w14:textId="77777777" w:rsidR="00D83477" w:rsidRPr="00B64FBB" w:rsidRDefault="00D83477" w:rsidP="00D83477">
      <w:pPr>
        <w:spacing w:before="480" w:line="257" w:lineRule="auto"/>
        <w:rPr>
          <w:rFonts w:ascii="Charter" w:eastAsia="Times New Roman" w:hAnsi="Charter" w:cs="Times New Roman"/>
          <w:b/>
          <w:bCs/>
          <w:color w:val="3F2C59"/>
          <w:szCs w:val="20"/>
          <w:lang w:val="en-US"/>
        </w:rPr>
      </w:pPr>
      <w:r w:rsidRPr="00B64FBB">
        <w:rPr>
          <w:rFonts w:ascii="Charter" w:eastAsia="Times New Roman" w:hAnsi="Charter" w:cs="Times New Roman"/>
          <w:b/>
          <w:bCs/>
          <w:color w:val="3F2C59"/>
          <w:szCs w:val="20"/>
          <w:lang w:val="en-US"/>
        </w:rPr>
        <w:t xml:space="preserve">For further enquires please contact: </w:t>
      </w:r>
    </w:p>
    <w:tbl>
      <w:tblPr>
        <w:tblStyle w:val="TableGrid1"/>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974"/>
      </w:tblGrid>
      <w:tr w:rsidR="00D83477" w:rsidRPr="00B64FBB" w14:paraId="31886589" w14:textId="77777777" w:rsidTr="00FC26F5">
        <w:trPr>
          <w:trHeight w:val="623"/>
        </w:trPr>
        <w:tc>
          <w:tcPr>
            <w:tcW w:w="4965" w:type="dxa"/>
          </w:tcPr>
          <w:p w14:paraId="3B3C5B97" w14:textId="77777777" w:rsidR="00D83477" w:rsidRPr="00B64FBB" w:rsidRDefault="00D83477" w:rsidP="00FC26F5">
            <w:pPr>
              <w:jc w:val="both"/>
              <w:rPr>
                <w:rFonts w:ascii="Charter" w:eastAsia="Calibri" w:hAnsi="Charter" w:cs="Times New Roman"/>
                <w:color w:val="000000"/>
                <w:szCs w:val="20"/>
                <w:lang w:eastAsia="en-GB"/>
              </w:rPr>
            </w:pPr>
            <w:r w:rsidRPr="00B64FBB">
              <w:rPr>
                <w:rFonts w:ascii="Charter" w:eastAsia="Times New Roman" w:hAnsi="Charter" w:cs="Times New Roman"/>
                <w:b/>
                <w:bCs/>
                <w:color w:val="3F2C59"/>
                <w:szCs w:val="20"/>
              </w:rPr>
              <w:t>Together</w:t>
            </w:r>
          </w:p>
        </w:tc>
        <w:tc>
          <w:tcPr>
            <w:tcW w:w="4974" w:type="dxa"/>
          </w:tcPr>
          <w:p w14:paraId="1592886C" w14:textId="77777777" w:rsidR="00D83477" w:rsidRPr="00B64FBB" w:rsidRDefault="00D83477" w:rsidP="00FC26F5">
            <w:pPr>
              <w:jc w:val="both"/>
              <w:rPr>
                <w:rFonts w:ascii="Charter" w:eastAsia="Calibri" w:hAnsi="Charter" w:cs="Times New Roman"/>
                <w:color w:val="000000"/>
                <w:szCs w:val="20"/>
                <w:lang w:eastAsia="en-GB"/>
              </w:rPr>
            </w:pPr>
          </w:p>
        </w:tc>
      </w:tr>
      <w:tr w:rsidR="00D83477" w:rsidRPr="00B64FBB" w14:paraId="51179874" w14:textId="77777777" w:rsidTr="00FC26F5">
        <w:trPr>
          <w:trHeight w:val="623"/>
        </w:trPr>
        <w:tc>
          <w:tcPr>
            <w:tcW w:w="4965" w:type="dxa"/>
          </w:tcPr>
          <w:p w14:paraId="58AC0B7D" w14:textId="77777777" w:rsidR="00D83477" w:rsidRPr="00B64FBB" w:rsidRDefault="00D83477" w:rsidP="00FC26F5">
            <w:pPr>
              <w:jc w:val="both"/>
              <w:rPr>
                <w:rFonts w:ascii="Charter" w:eastAsia="Calibri" w:hAnsi="Charter" w:cs="Times New Roman"/>
                <w:color w:val="000000"/>
                <w:szCs w:val="20"/>
                <w:lang w:eastAsia="en-GB"/>
              </w:rPr>
            </w:pPr>
            <w:r w:rsidRPr="00B64FBB">
              <w:rPr>
                <w:rFonts w:ascii="Charter" w:eastAsia="Calibri" w:hAnsi="Charter" w:cs="Times New Roman"/>
                <w:color w:val="000000"/>
                <w:szCs w:val="20"/>
                <w:lang w:eastAsia="en-GB"/>
              </w:rPr>
              <w:t>Mike Davies, Director of Corporate Affairs</w:t>
            </w:r>
          </w:p>
          <w:p w14:paraId="5B41A8A1" w14:textId="77777777" w:rsidR="00D83477" w:rsidRPr="00B64FBB" w:rsidRDefault="00D83477" w:rsidP="00FC26F5">
            <w:pPr>
              <w:jc w:val="both"/>
              <w:rPr>
                <w:rFonts w:ascii="Charter" w:eastAsia="Calibri" w:hAnsi="Charter" w:cs="Times New Roman"/>
                <w:color w:val="000000"/>
                <w:szCs w:val="20"/>
                <w:lang w:eastAsia="en-GB"/>
              </w:rPr>
            </w:pPr>
          </w:p>
          <w:p w14:paraId="00EF09C0" w14:textId="77777777" w:rsidR="00D83477" w:rsidRPr="00B64FBB" w:rsidRDefault="00D83477" w:rsidP="00FC26F5">
            <w:pPr>
              <w:jc w:val="both"/>
              <w:rPr>
                <w:rFonts w:ascii="Charter" w:eastAsia="Calibri" w:hAnsi="Charter" w:cs="Times New Roman"/>
                <w:color w:val="000000"/>
                <w:szCs w:val="20"/>
                <w:lang w:eastAsia="en-GB"/>
              </w:rPr>
            </w:pPr>
          </w:p>
          <w:p w14:paraId="6D55B562" w14:textId="77777777" w:rsidR="00D83477" w:rsidRPr="00B64FBB" w:rsidRDefault="00D83477" w:rsidP="00FC26F5">
            <w:pPr>
              <w:jc w:val="both"/>
              <w:rPr>
                <w:rFonts w:eastAsia="Times New Roman" w:cs="Times New Roman"/>
                <w:bCs/>
                <w:sz w:val="22"/>
                <w:szCs w:val="22"/>
              </w:rPr>
            </w:pPr>
            <w:r w:rsidRPr="00B64FBB">
              <w:rPr>
                <w:rFonts w:ascii="Charter" w:eastAsia="Calibri" w:hAnsi="Charter" w:cs="Times New Roman"/>
                <w:color w:val="000000"/>
                <w:szCs w:val="20"/>
                <w:lang w:eastAsia="en-GB"/>
              </w:rPr>
              <w:t>Abena Affum, Corporate Affairs Manager</w:t>
            </w:r>
            <w:r w:rsidRPr="00B64FBB">
              <w:rPr>
                <w:rFonts w:eastAsia="Times New Roman" w:cs="Times New Roman"/>
                <w:bCs/>
                <w:sz w:val="22"/>
                <w:szCs w:val="22"/>
              </w:rPr>
              <w:t xml:space="preserve"> </w:t>
            </w:r>
          </w:p>
        </w:tc>
        <w:tc>
          <w:tcPr>
            <w:tcW w:w="4974" w:type="dxa"/>
          </w:tcPr>
          <w:p w14:paraId="0C1C5802" w14:textId="77777777" w:rsidR="00D83477" w:rsidRPr="00B64FBB" w:rsidRDefault="00D83477" w:rsidP="00FC26F5">
            <w:pPr>
              <w:ind w:left="27"/>
              <w:jc w:val="both"/>
              <w:rPr>
                <w:rFonts w:ascii="Charter" w:eastAsia="Calibri" w:hAnsi="Charter" w:cs="Times New Roman"/>
                <w:szCs w:val="20"/>
                <w:lang w:eastAsia="en-GB"/>
              </w:rPr>
            </w:pPr>
            <w:r w:rsidRPr="00B64FBB">
              <w:rPr>
                <w:rFonts w:ascii="Charter" w:eastAsia="Calibri" w:hAnsi="Charter" w:cs="Times New Roman"/>
                <w:szCs w:val="20"/>
                <w:lang w:eastAsia="en-GB"/>
              </w:rPr>
              <w:t>+44 7753 138185</w:t>
            </w:r>
          </w:p>
          <w:p w14:paraId="3668F6DB" w14:textId="77777777" w:rsidR="00D83477" w:rsidRPr="00B64FBB" w:rsidRDefault="00D83477" w:rsidP="00FC26F5">
            <w:pPr>
              <w:jc w:val="both"/>
              <w:rPr>
                <w:rFonts w:ascii="Charter" w:eastAsia="Calibri" w:hAnsi="Charter" w:cs="Times New Roman"/>
                <w:color w:val="0000FF"/>
                <w:szCs w:val="20"/>
                <w:u w:val="single"/>
                <w:lang w:eastAsia="en-GB"/>
              </w:rPr>
            </w:pPr>
            <w:hyperlink r:id="rId14" w:history="1">
              <w:r w:rsidRPr="00B64FBB">
                <w:rPr>
                  <w:rFonts w:ascii="Charter" w:eastAsia="Calibri" w:hAnsi="Charter" w:cs="Times New Roman"/>
                  <w:color w:val="0000FF"/>
                  <w:szCs w:val="20"/>
                  <w:u w:val="single"/>
                  <w:lang w:eastAsia="en-GB"/>
                </w:rPr>
                <w:t>mike.davies@togethermoney.com</w:t>
              </w:r>
            </w:hyperlink>
          </w:p>
          <w:p w14:paraId="73D2F6E3" w14:textId="77777777" w:rsidR="00D83477" w:rsidRPr="00B64FBB" w:rsidRDefault="00D83477" w:rsidP="00FC26F5">
            <w:pPr>
              <w:jc w:val="both"/>
              <w:rPr>
                <w:rFonts w:eastAsia="Times New Roman" w:cs="Times New Roman"/>
                <w:color w:val="0000FF"/>
                <w:szCs w:val="22"/>
                <w:u w:val="single"/>
              </w:rPr>
            </w:pPr>
          </w:p>
          <w:p w14:paraId="7F565FAB" w14:textId="77777777" w:rsidR="00D83477" w:rsidRPr="00B64FBB" w:rsidRDefault="00D83477" w:rsidP="00FC26F5">
            <w:pPr>
              <w:jc w:val="both"/>
              <w:rPr>
                <w:rFonts w:ascii="Charter" w:eastAsia="Calibri" w:hAnsi="Charter" w:cs="Times New Roman"/>
                <w:szCs w:val="20"/>
                <w:lang w:eastAsia="en-GB"/>
              </w:rPr>
            </w:pPr>
            <w:r w:rsidRPr="00B64FBB">
              <w:rPr>
                <w:rFonts w:ascii="Charter" w:eastAsia="Calibri" w:hAnsi="Charter" w:cs="Times New Roman"/>
                <w:szCs w:val="20"/>
                <w:lang w:eastAsia="en-GB"/>
              </w:rPr>
              <w:t>+44 7542 862956</w:t>
            </w:r>
          </w:p>
          <w:p w14:paraId="2FA1110B" w14:textId="77777777" w:rsidR="00D83477" w:rsidRPr="00B64FBB" w:rsidRDefault="00D83477" w:rsidP="00FC26F5">
            <w:pPr>
              <w:jc w:val="both"/>
              <w:rPr>
                <w:rFonts w:eastAsia="Times New Roman" w:cs="Times New Roman"/>
                <w:sz w:val="22"/>
                <w:szCs w:val="22"/>
              </w:rPr>
            </w:pPr>
            <w:hyperlink r:id="rId15" w:history="1">
              <w:r w:rsidRPr="00B64FBB">
                <w:rPr>
                  <w:rFonts w:ascii="Charter" w:eastAsia="Calibri" w:hAnsi="Charter" w:cs="Times New Roman"/>
                  <w:color w:val="0000FF"/>
                  <w:szCs w:val="20"/>
                  <w:u w:val="single"/>
                  <w:lang w:eastAsia="en-GB"/>
                </w:rPr>
                <w:t>abena.affum@togethermoney.com</w:t>
              </w:r>
            </w:hyperlink>
          </w:p>
        </w:tc>
      </w:tr>
      <w:tr w:rsidR="00D83477" w:rsidRPr="00B64FBB" w14:paraId="64D08C72" w14:textId="77777777" w:rsidTr="00FC26F5">
        <w:trPr>
          <w:trHeight w:val="1550"/>
        </w:trPr>
        <w:tc>
          <w:tcPr>
            <w:tcW w:w="4965" w:type="dxa"/>
          </w:tcPr>
          <w:p w14:paraId="11408298" w14:textId="77777777" w:rsidR="00D83477" w:rsidRPr="00B64FBB" w:rsidRDefault="00D83477" w:rsidP="00FC26F5">
            <w:pPr>
              <w:spacing w:after="270"/>
              <w:rPr>
                <w:rFonts w:ascii="Charter" w:eastAsia="Calibri" w:hAnsi="Charter" w:cs="Times New Roman"/>
                <w:bCs/>
                <w:szCs w:val="20"/>
                <w:lang w:eastAsia="en-GB"/>
              </w:rPr>
            </w:pPr>
          </w:p>
          <w:p w14:paraId="72DEBCA2" w14:textId="77777777" w:rsidR="00D83477" w:rsidRPr="00B64FBB" w:rsidRDefault="00D83477" w:rsidP="00FC26F5">
            <w:pPr>
              <w:spacing w:after="270"/>
              <w:rPr>
                <w:rFonts w:ascii="Charter" w:eastAsia="Times New Roman" w:hAnsi="Charter" w:cs="Times New Roman"/>
                <w:b/>
                <w:bCs/>
                <w:color w:val="3F2C59"/>
                <w:szCs w:val="20"/>
              </w:rPr>
            </w:pPr>
            <w:r w:rsidRPr="00B64FBB">
              <w:rPr>
                <w:rFonts w:ascii="Charter" w:eastAsia="Times New Roman" w:hAnsi="Charter" w:cs="Times New Roman"/>
                <w:b/>
                <w:bCs/>
                <w:color w:val="3F2C59"/>
                <w:szCs w:val="20"/>
              </w:rPr>
              <w:t>Camarco (Financial PR)</w:t>
            </w:r>
          </w:p>
          <w:p w14:paraId="65F794A0" w14:textId="77777777" w:rsidR="00D83477" w:rsidRPr="00B64FBB" w:rsidRDefault="00D83477" w:rsidP="00FC26F5">
            <w:pPr>
              <w:jc w:val="both"/>
              <w:rPr>
                <w:rFonts w:ascii="Charter" w:eastAsia="Calibri" w:hAnsi="Charter" w:cs="Times New Roman"/>
                <w:color w:val="000000"/>
                <w:szCs w:val="20"/>
                <w:lang w:eastAsia="en-GB"/>
              </w:rPr>
            </w:pPr>
            <w:r w:rsidRPr="00B64FBB">
              <w:rPr>
                <w:rFonts w:ascii="Charter" w:eastAsia="Calibri" w:hAnsi="Charter" w:cs="Times New Roman"/>
                <w:color w:val="000000"/>
                <w:szCs w:val="20"/>
                <w:lang w:eastAsia="en-GB"/>
              </w:rPr>
              <w:t>Ben Woodford</w:t>
            </w:r>
          </w:p>
          <w:p w14:paraId="660DAF0A" w14:textId="77777777" w:rsidR="00D83477" w:rsidRPr="00B64FBB" w:rsidRDefault="00D83477" w:rsidP="00FC26F5">
            <w:pPr>
              <w:jc w:val="both"/>
              <w:rPr>
                <w:rFonts w:ascii="Charter" w:eastAsia="Calibri" w:hAnsi="Charter" w:cs="Times New Roman"/>
                <w:bCs/>
                <w:szCs w:val="22"/>
                <w:lang w:eastAsia="en-GB"/>
              </w:rPr>
            </w:pPr>
          </w:p>
          <w:p w14:paraId="36010892" w14:textId="77777777" w:rsidR="00D83477" w:rsidRPr="00B64FBB" w:rsidRDefault="00D83477" w:rsidP="00FC26F5">
            <w:pPr>
              <w:jc w:val="both"/>
              <w:rPr>
                <w:rFonts w:ascii="Charter" w:eastAsia="Calibri" w:hAnsi="Charter" w:cs="Times New Roman"/>
                <w:bCs/>
                <w:szCs w:val="20"/>
                <w:lang w:eastAsia="en-GB"/>
              </w:rPr>
            </w:pPr>
          </w:p>
          <w:p w14:paraId="60B29F21" w14:textId="77777777" w:rsidR="00D83477" w:rsidRPr="00B64FBB" w:rsidRDefault="00D83477" w:rsidP="00FC26F5">
            <w:pPr>
              <w:jc w:val="both"/>
              <w:rPr>
                <w:rFonts w:ascii="Charter" w:eastAsia="Calibri" w:hAnsi="Charter" w:cs="Times New Roman"/>
                <w:bCs/>
                <w:szCs w:val="20"/>
                <w:lang w:eastAsia="en-GB"/>
              </w:rPr>
            </w:pPr>
            <w:r w:rsidRPr="00B64FBB">
              <w:rPr>
                <w:rFonts w:ascii="Charter" w:eastAsia="Calibri" w:hAnsi="Charter" w:cs="Times New Roman"/>
                <w:bCs/>
                <w:szCs w:val="20"/>
                <w:lang w:eastAsia="en-GB"/>
              </w:rPr>
              <w:t xml:space="preserve">Eddie Livingstone-Learmonth </w:t>
            </w:r>
          </w:p>
          <w:p w14:paraId="3F8FA9E0" w14:textId="77777777" w:rsidR="00D83477" w:rsidRPr="00B64FBB" w:rsidRDefault="00D83477" w:rsidP="00FC26F5">
            <w:pPr>
              <w:rPr>
                <w:rFonts w:ascii="Charter" w:eastAsia="Calibri" w:hAnsi="Charter" w:cs="Times New Roman"/>
                <w:szCs w:val="20"/>
                <w:lang w:eastAsia="en-GB"/>
              </w:rPr>
            </w:pPr>
          </w:p>
        </w:tc>
        <w:tc>
          <w:tcPr>
            <w:tcW w:w="4974" w:type="dxa"/>
          </w:tcPr>
          <w:p w14:paraId="0574DE01" w14:textId="77777777" w:rsidR="00D83477" w:rsidRPr="00B64FBB" w:rsidRDefault="00D83477" w:rsidP="00FC26F5">
            <w:pPr>
              <w:jc w:val="both"/>
              <w:rPr>
                <w:rFonts w:ascii="Charter" w:eastAsia="Calibri" w:hAnsi="Charter" w:cs="Times New Roman"/>
                <w:color w:val="0000FF"/>
                <w:szCs w:val="20"/>
                <w:u w:val="single"/>
                <w:lang w:eastAsia="en-GB"/>
              </w:rPr>
            </w:pPr>
          </w:p>
          <w:p w14:paraId="6F7587DB" w14:textId="77777777" w:rsidR="00D83477" w:rsidRPr="00B64FBB" w:rsidRDefault="00D83477" w:rsidP="00FC26F5">
            <w:pPr>
              <w:jc w:val="both"/>
              <w:rPr>
                <w:rFonts w:ascii="Charter" w:eastAsia="Calibri" w:hAnsi="Charter" w:cs="Times New Roman"/>
                <w:szCs w:val="20"/>
                <w:lang w:eastAsia="en-GB"/>
              </w:rPr>
            </w:pPr>
          </w:p>
          <w:p w14:paraId="0AE9BEF1" w14:textId="77777777" w:rsidR="00D83477" w:rsidRPr="00B64FBB" w:rsidRDefault="00D83477" w:rsidP="00FC26F5">
            <w:pPr>
              <w:jc w:val="both"/>
              <w:rPr>
                <w:rFonts w:ascii="Charter" w:eastAsia="Calibri" w:hAnsi="Charter" w:cs="Times New Roman"/>
                <w:szCs w:val="20"/>
                <w:lang w:eastAsia="en-GB"/>
              </w:rPr>
            </w:pPr>
          </w:p>
          <w:p w14:paraId="444EEA0F" w14:textId="77777777" w:rsidR="00D83477" w:rsidRPr="00B64FBB" w:rsidRDefault="00D83477" w:rsidP="00FC26F5">
            <w:pPr>
              <w:jc w:val="both"/>
              <w:rPr>
                <w:rFonts w:ascii="Charter" w:eastAsia="Calibri" w:hAnsi="Charter" w:cs="Times New Roman"/>
                <w:szCs w:val="20"/>
                <w:lang w:eastAsia="en-GB"/>
              </w:rPr>
            </w:pPr>
          </w:p>
          <w:p w14:paraId="2276185E" w14:textId="77777777" w:rsidR="00D83477" w:rsidRPr="00B64FBB" w:rsidRDefault="00D83477" w:rsidP="00FC26F5">
            <w:pPr>
              <w:jc w:val="both"/>
              <w:rPr>
                <w:rFonts w:ascii="Charter" w:eastAsia="Calibri" w:hAnsi="Charter" w:cs="Times New Roman"/>
                <w:szCs w:val="20"/>
                <w:lang w:eastAsia="en-GB"/>
              </w:rPr>
            </w:pPr>
            <w:r w:rsidRPr="00B64FBB">
              <w:rPr>
                <w:rFonts w:ascii="Charter" w:eastAsia="Calibri" w:hAnsi="Charter" w:cs="Times New Roman"/>
                <w:szCs w:val="20"/>
                <w:lang w:eastAsia="en-GB"/>
              </w:rPr>
              <w:t>+44 7990 653341</w:t>
            </w:r>
          </w:p>
          <w:p w14:paraId="27919C9A" w14:textId="77777777" w:rsidR="00D83477" w:rsidRPr="00B64FBB" w:rsidRDefault="00D83477" w:rsidP="00FC26F5">
            <w:pPr>
              <w:jc w:val="both"/>
              <w:rPr>
                <w:rFonts w:ascii="Charter" w:eastAsia="Calibri" w:hAnsi="Charter" w:cs="Times New Roman"/>
                <w:color w:val="0000FF"/>
                <w:szCs w:val="20"/>
                <w:u w:val="single"/>
                <w:lang w:eastAsia="en-GB"/>
              </w:rPr>
            </w:pPr>
            <w:hyperlink r:id="rId16" w:history="1">
              <w:r w:rsidRPr="00B64FBB">
                <w:rPr>
                  <w:rFonts w:ascii="Charter" w:eastAsia="Calibri" w:hAnsi="Charter" w:cs="Times New Roman"/>
                  <w:color w:val="0000FF"/>
                  <w:szCs w:val="20"/>
                  <w:u w:val="single"/>
                  <w:lang w:eastAsia="en-GB"/>
                </w:rPr>
                <w:t>ben.woodford@camarco.co.uk</w:t>
              </w:r>
            </w:hyperlink>
          </w:p>
          <w:p w14:paraId="18317A3E" w14:textId="77777777" w:rsidR="00D83477" w:rsidRPr="00B64FBB" w:rsidRDefault="00D83477" w:rsidP="00FC26F5">
            <w:pPr>
              <w:jc w:val="both"/>
              <w:rPr>
                <w:rFonts w:ascii="Charter" w:eastAsia="Calibri" w:hAnsi="Charter" w:cs="Times New Roman"/>
                <w:szCs w:val="20"/>
                <w:lang w:eastAsia="en-GB"/>
              </w:rPr>
            </w:pPr>
          </w:p>
          <w:p w14:paraId="3D2B5C23" w14:textId="77777777" w:rsidR="00D83477" w:rsidRPr="00B64FBB" w:rsidRDefault="00D83477" w:rsidP="00FC26F5">
            <w:pPr>
              <w:jc w:val="both"/>
              <w:rPr>
                <w:rFonts w:ascii="Charter" w:eastAsia="Calibri" w:hAnsi="Charter" w:cs="Times New Roman"/>
                <w:szCs w:val="20"/>
                <w:lang w:eastAsia="en-GB"/>
              </w:rPr>
            </w:pPr>
            <w:r w:rsidRPr="00B64FBB">
              <w:rPr>
                <w:rFonts w:ascii="Charter" w:eastAsia="Calibri" w:hAnsi="Charter" w:cs="Times New Roman"/>
                <w:szCs w:val="20"/>
                <w:lang w:eastAsia="en-GB"/>
              </w:rPr>
              <w:t>+44 7900 121128</w:t>
            </w:r>
          </w:p>
          <w:p w14:paraId="437A8CB9" w14:textId="77777777" w:rsidR="00D83477" w:rsidRPr="00B64FBB" w:rsidRDefault="00D83477" w:rsidP="00FC26F5">
            <w:pPr>
              <w:jc w:val="both"/>
              <w:rPr>
                <w:rFonts w:ascii="Charter" w:eastAsia="Times New Roman" w:hAnsi="Charter" w:cs="Times New Roman"/>
                <w:color w:val="0000FF"/>
                <w:szCs w:val="20"/>
                <w:lang w:eastAsia="en-GB"/>
              </w:rPr>
            </w:pPr>
            <w:hyperlink r:id="rId17" w:history="1">
              <w:r w:rsidRPr="00B64FBB">
                <w:rPr>
                  <w:rFonts w:ascii="Charter" w:eastAsia="Calibri" w:hAnsi="Charter" w:cs="Times New Roman"/>
                  <w:color w:val="0000FF"/>
                  <w:szCs w:val="20"/>
                  <w:u w:val="single"/>
                  <w:lang w:eastAsia="en-GB"/>
                </w:rPr>
                <w:t>Edward.Livingstone-Learmonth@camarco.co.uk</w:t>
              </w:r>
            </w:hyperlink>
          </w:p>
          <w:p w14:paraId="4F755F29" w14:textId="77777777" w:rsidR="00D83477" w:rsidRPr="00B64FBB" w:rsidRDefault="00D83477" w:rsidP="00FC26F5">
            <w:pPr>
              <w:jc w:val="both"/>
              <w:rPr>
                <w:rFonts w:ascii="Charter" w:eastAsia="Times New Roman" w:hAnsi="Charter" w:cs="Times New Roman"/>
                <w:color w:val="0000FF"/>
                <w:szCs w:val="20"/>
                <w:lang w:eastAsia="en-GB"/>
              </w:rPr>
            </w:pPr>
          </w:p>
        </w:tc>
      </w:tr>
    </w:tbl>
    <w:p w14:paraId="2FA8E87A" w14:textId="77777777" w:rsidR="00D83477" w:rsidRPr="00B64FBB" w:rsidRDefault="00D83477" w:rsidP="00D83477">
      <w:pPr>
        <w:rPr>
          <w:rFonts w:ascii="Times New Roman" w:eastAsia="SimHei" w:hAnsi="Times New Roman" w:cs="Times New Roman"/>
          <w:b/>
          <w:bCs/>
          <w:color w:val="3F2C59"/>
          <w:szCs w:val="20"/>
        </w:rPr>
      </w:pPr>
    </w:p>
    <w:p w14:paraId="7DEB5BD8" w14:textId="77777777" w:rsidR="00D83477" w:rsidRPr="00B64FBB" w:rsidRDefault="00D83477" w:rsidP="00D83477">
      <w:pPr>
        <w:spacing w:after="160" w:line="259" w:lineRule="auto"/>
        <w:rPr>
          <w:rFonts w:ascii="Times New Roman" w:eastAsia="SimHei" w:hAnsi="Times New Roman" w:cs="Times New Roman"/>
          <w:b/>
          <w:bCs/>
          <w:color w:val="3F2C59"/>
          <w:szCs w:val="20"/>
        </w:rPr>
      </w:pPr>
      <w:r w:rsidRPr="00B64FBB">
        <w:rPr>
          <w:rFonts w:ascii="Times New Roman" w:eastAsia="SimHei" w:hAnsi="Times New Roman" w:cs="Times New Roman"/>
          <w:b/>
          <w:bCs/>
          <w:color w:val="3F2C59"/>
          <w:szCs w:val="20"/>
        </w:rPr>
        <w:t>About Together</w:t>
      </w:r>
    </w:p>
    <w:p w14:paraId="492F7144" w14:textId="77777777" w:rsidR="00D83477" w:rsidRPr="00B64FBB" w:rsidRDefault="00D83477" w:rsidP="00D83477">
      <w:pPr>
        <w:spacing w:after="120"/>
        <w:rPr>
          <w:rFonts w:ascii="Charter" w:eastAsia="Times New Roman" w:hAnsi="Charter" w:cs="Times New Roman"/>
        </w:rPr>
      </w:pPr>
      <w:r w:rsidRPr="00B64FBB">
        <w:rPr>
          <w:rFonts w:ascii="Charter" w:eastAsia="Times New Roman" w:hAnsi="Charter" w:cs="Times New Roman"/>
          <w:szCs w:val="20"/>
        </w:rPr>
        <w:t>One</w:t>
      </w:r>
      <w:r w:rsidRPr="00B64FBB">
        <w:rPr>
          <w:rFonts w:ascii="Charter" w:eastAsia="Times New Roman" w:hAnsi="Charter" w:cs="Times New Roman"/>
        </w:rPr>
        <w:t xml:space="preserve"> of the UK’s leading </w:t>
      </w:r>
      <w:r w:rsidRPr="00B64FBB">
        <w:rPr>
          <w:rFonts w:ascii="Charter" w:eastAsia="Times New Roman" w:hAnsi="Charter" w:cs="Times New Roman"/>
          <w:bCs/>
          <w:szCs w:val="20"/>
        </w:rPr>
        <w:t>non-bank relationship lenders</w:t>
      </w:r>
      <w:r w:rsidRPr="00B64FBB">
        <w:rPr>
          <w:rFonts w:ascii="Charter" w:eastAsia="Times New Roman" w:hAnsi="Charter" w:cs="Times New Roman"/>
        </w:rPr>
        <w:t xml:space="preserve">, Together has been making finance work to help our customers realise their ambitions for 50 years. </w:t>
      </w:r>
    </w:p>
    <w:p w14:paraId="3C192B06" w14:textId="77777777" w:rsidR="00D83477" w:rsidRPr="00B64FBB" w:rsidRDefault="00D83477" w:rsidP="00D83477">
      <w:pPr>
        <w:spacing w:after="120" w:line="246" w:lineRule="atLeast"/>
        <w:jc w:val="both"/>
        <w:rPr>
          <w:rFonts w:ascii="Charter" w:eastAsia="Times New Roman" w:hAnsi="Charter" w:cs="Times New Roman"/>
        </w:rPr>
      </w:pPr>
      <w:r w:rsidRPr="00B64FBB">
        <w:rPr>
          <w:rFonts w:ascii="Charter" w:eastAsia="Times New Roman" w:hAnsi="Charter" w:cs="Times New Roman"/>
        </w:rPr>
        <w:t>A strong, diverse and financially inclusive lender, we support a wide range of underserved customers including the self-employed, those with more complex incomes, in later life or with thin or impaired credit, landlords and SME and business customers. We offer our customers a wide range of flexible lending products including short-term finance, auction finance, residential, buy-to-let and commercial mortgages, secured loans and development finance.</w:t>
      </w:r>
    </w:p>
    <w:p w14:paraId="2C945F8B" w14:textId="77777777" w:rsidR="00D83477" w:rsidRPr="00B64FBB" w:rsidRDefault="00D83477" w:rsidP="00D83477">
      <w:pPr>
        <w:spacing w:after="120" w:line="246" w:lineRule="atLeast"/>
        <w:jc w:val="both"/>
        <w:rPr>
          <w:rFonts w:ascii="Charter" w:eastAsia="Times New Roman" w:hAnsi="Charter" w:cs="Times New Roman"/>
        </w:rPr>
      </w:pPr>
      <w:r w:rsidRPr="00B64FBB">
        <w:rPr>
          <w:rFonts w:ascii="Charter" w:eastAsia="Times New Roman" w:hAnsi="Charter" w:cs="Times New Roman"/>
        </w:rPr>
        <w:t xml:space="preserve">Our expertise in lending means we can look beyond mainstream lending criteria to consider individual circumstances and treat each application on its own merits to help our customers solve problems and realise opportunities. </w:t>
      </w:r>
    </w:p>
    <w:p w14:paraId="53223395" w14:textId="77777777" w:rsidR="00D83477" w:rsidRPr="005E1BD7" w:rsidRDefault="00D83477" w:rsidP="005E1BD7">
      <w:pPr>
        <w:spacing w:before="242" w:after="100" w:afterAutospacing="1"/>
        <w:jc w:val="both"/>
        <w:rPr>
          <w:rFonts w:ascii="Charter" w:eastAsia="Times New Roman" w:hAnsi="Charter" w:cs="Times New Roman"/>
        </w:rPr>
      </w:pPr>
      <w:r w:rsidRPr="00B64FBB">
        <w:rPr>
          <w:rFonts w:ascii="Charter" w:eastAsia="Times New Roman" w:hAnsi="Charter" w:cs="Times New Roman"/>
        </w:rPr>
        <w:t>Together is the trading name of Together Financial Services Limited, which has its registered office address at Lake View, Lake</w:t>
      </w:r>
      <w:r w:rsidR="005E1BD7">
        <w:rPr>
          <w:rFonts w:ascii="Charter" w:eastAsia="Times New Roman" w:hAnsi="Charter" w:cs="Times New Roman"/>
        </w:rPr>
        <w:t>side, Cheadle, Cheshire SK8 3GW.</w:t>
      </w:r>
    </w:p>
    <w:sectPr w:rsidR="00D83477" w:rsidRPr="005E1BD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07D4" w14:textId="77777777" w:rsidR="00BD16C8" w:rsidRDefault="00BD16C8" w:rsidP="00271FC8">
      <w:r>
        <w:separator/>
      </w:r>
    </w:p>
  </w:endnote>
  <w:endnote w:type="continuationSeparator" w:id="0">
    <w:p w14:paraId="6303BD1B" w14:textId="77777777" w:rsidR="00BD16C8" w:rsidRDefault="00BD16C8" w:rsidP="00271FC8">
      <w:r>
        <w:continuationSeparator/>
      </w:r>
    </w:p>
  </w:endnote>
  <w:endnote w:type="continuationNotice" w:id="1">
    <w:p w14:paraId="5B40EF6F" w14:textId="77777777" w:rsidR="00070862" w:rsidRDefault="00070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rte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AA022" w14:textId="77777777" w:rsidR="00BD16C8" w:rsidRDefault="00BD16C8" w:rsidP="00271FC8">
      <w:r>
        <w:separator/>
      </w:r>
    </w:p>
  </w:footnote>
  <w:footnote w:type="continuationSeparator" w:id="0">
    <w:p w14:paraId="09F7AC2D" w14:textId="77777777" w:rsidR="00BD16C8" w:rsidRDefault="00BD16C8" w:rsidP="00271FC8">
      <w:r>
        <w:continuationSeparator/>
      </w:r>
    </w:p>
  </w:footnote>
  <w:footnote w:type="continuationNotice" w:id="1">
    <w:p w14:paraId="7CD530A8" w14:textId="77777777" w:rsidR="00070862" w:rsidRDefault="00070862"/>
  </w:footnote>
  <w:footnote w:id="2">
    <w:p w14:paraId="0542978C" w14:textId="77777777" w:rsidR="003B5831" w:rsidRPr="003B5831" w:rsidRDefault="003B5831" w:rsidP="003B5831">
      <w:pPr>
        <w:pStyle w:val="FootnoteText"/>
        <w:ind w:left="142" w:right="-306" w:hanging="153"/>
        <w:rPr>
          <w:rStyle w:val="FootnoteReference"/>
          <w:rFonts w:ascii="Georgia" w:hAnsi="Georgia"/>
          <w:sz w:val="20"/>
        </w:rPr>
      </w:pPr>
      <w:r w:rsidRPr="003B5831">
        <w:rPr>
          <w:rStyle w:val="FootnoteReference"/>
          <w:rFonts w:ascii="Georgia" w:hAnsi="Georgia"/>
          <w:sz w:val="20"/>
        </w:rPr>
        <w:footnoteRef/>
      </w:r>
      <w:r w:rsidRPr="003B5831">
        <w:rPr>
          <w:rStyle w:val="FootnoteReference"/>
          <w:rFonts w:ascii="Georgia" w:hAnsi="Georgia"/>
          <w:sz w:val="20"/>
        </w:rPr>
        <w:t xml:space="preserve"> During </w:t>
      </w:r>
      <w:bookmarkStart w:id="3" w:name="_Hlk181802716"/>
      <w:r w:rsidRPr="003B5831">
        <w:rPr>
          <w:rStyle w:val="FootnoteReference"/>
          <w:rFonts w:ascii="Georgia" w:hAnsi="Georgia"/>
          <w:sz w:val="20"/>
        </w:rPr>
        <w:t>the current quarter, the Group incurred £3.4m of transformation costs. (Q1</w:t>
      </w:r>
      <w:r w:rsidRPr="003B5831">
        <w:rPr>
          <w:rStyle w:val="FootnoteReference"/>
          <w:rFonts w:ascii="Georgia" w:hAnsi="Georgia" w:hint="eastAsia"/>
          <w:sz w:val="20"/>
        </w:rPr>
        <w:t>‘</w:t>
      </w:r>
      <w:r w:rsidRPr="003B5831">
        <w:rPr>
          <w:rStyle w:val="FootnoteReference"/>
          <w:rFonts w:ascii="Georgia" w:hAnsi="Georgia"/>
          <w:sz w:val="20"/>
        </w:rPr>
        <w:t>24 Exceptional items consisted of £0.4m of transformation costs which were not previously treated as exceptional items but have been subsequently reclassified. (Q4</w:t>
      </w:r>
      <w:r w:rsidRPr="003B5831">
        <w:rPr>
          <w:rStyle w:val="FootnoteReference"/>
          <w:rFonts w:ascii="Georgia" w:hAnsi="Georgia" w:hint="eastAsia"/>
          <w:sz w:val="20"/>
        </w:rPr>
        <w:t>‘</w:t>
      </w:r>
      <w:r w:rsidRPr="003B5831">
        <w:rPr>
          <w:rStyle w:val="FootnoteReference"/>
          <w:rFonts w:ascii="Georgia" w:hAnsi="Georgia"/>
          <w:sz w:val="20"/>
        </w:rPr>
        <w:t>24 exceptional items consisted of £3.4m of transformation costs</w:t>
      </w:r>
      <w:bookmarkEnd w:id="3"/>
      <w:r w:rsidRPr="003B5831">
        <w:rPr>
          <w:rStyle w:val="FootnoteReference"/>
          <w:rFonts w:ascii="Georgia" w:hAnsi="Georgia"/>
          <w:sz w:val="20"/>
        </w:rPr>
        <w:t xml:space="preserve">). </w:t>
      </w:r>
    </w:p>
  </w:footnote>
  <w:footnote w:id="3">
    <w:p w14:paraId="66BC897C" w14:textId="77777777" w:rsidR="003B5831" w:rsidRPr="003B5831" w:rsidRDefault="003B5831" w:rsidP="003B5831">
      <w:pPr>
        <w:pStyle w:val="FootnoteText"/>
        <w:ind w:left="142" w:right="-306" w:hanging="153"/>
      </w:pPr>
      <w:r w:rsidRPr="003B5831">
        <w:rPr>
          <w:rStyle w:val="FootnoteReference"/>
          <w:rFonts w:ascii="Georgia" w:hAnsi="Georgia"/>
          <w:sz w:val="20"/>
        </w:rPr>
        <w:footnoteRef/>
      </w:r>
      <w:r w:rsidRPr="003B5831">
        <w:rPr>
          <w:rStyle w:val="FootnoteReference"/>
          <w:rFonts w:ascii="Georgia" w:hAnsi="Georgia"/>
          <w:sz w:val="20"/>
        </w:rPr>
        <w:t xml:space="preserve"> There are no exceptional items impacting upon net interest income recorded in the current or comparable prior periods.</w:t>
      </w:r>
    </w:p>
  </w:footnote>
  <w:footnote w:id="4">
    <w:p w14:paraId="69F339A7" w14:textId="77777777" w:rsidR="003B5831" w:rsidRPr="003B5831" w:rsidRDefault="003B5831" w:rsidP="003B5831">
      <w:pPr>
        <w:pStyle w:val="FootnoteText"/>
        <w:ind w:left="142" w:right="-306" w:hanging="153"/>
      </w:pPr>
      <w:r w:rsidRPr="003B5831">
        <w:rPr>
          <w:rStyle w:val="FootnoteReference"/>
          <w:rFonts w:ascii="Georgia" w:hAnsi="Georgia"/>
          <w:sz w:val="20"/>
        </w:rPr>
        <w:footnoteRef/>
      </w:r>
      <w:r w:rsidRPr="003B5831">
        <w:rPr>
          <w:rStyle w:val="FootnoteReference"/>
          <w:rFonts w:ascii="Georgia" w:hAnsi="Georgia"/>
          <w:sz w:val="20"/>
        </w:rPr>
        <w:t xml:space="preserve"> Includes subordinated shareholder loans of £23.3m (Q1‘24: £34.3m, Q4‘24: 22.8m)</w:t>
      </w:r>
    </w:p>
    <w:p w14:paraId="32F7B32E" w14:textId="77777777" w:rsidR="003B5831" w:rsidRPr="003B5831" w:rsidRDefault="003B5831" w:rsidP="003B5831">
      <w:pPr>
        <w:pStyle w:val="FootnoteText"/>
        <w:ind w:left="142" w:right="-306" w:hanging="153"/>
      </w:pPr>
      <w:r w:rsidRPr="003B5831">
        <w:rPr>
          <w:rStyle w:val="FootnoteReference"/>
          <w:rFonts w:ascii="Georgia" w:hAnsi="Georgia"/>
          <w:sz w:val="20"/>
        </w:rPr>
        <w:t>4 Net of gross loans and advances to customers and impairment allowances</w:t>
      </w:r>
    </w:p>
    <w:p w14:paraId="63A1BAAF" w14:textId="77777777" w:rsidR="003B5831" w:rsidRPr="00EB4B49" w:rsidRDefault="003B5831" w:rsidP="003B5831">
      <w:pPr>
        <w:pStyle w:val="FootnoteText"/>
        <w:ind w:left="142" w:right="-306" w:hanging="153"/>
        <w:rPr>
          <w:rFonts w:ascii="Charter" w:hAnsi="Charte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95BA" w14:textId="71172449" w:rsidR="00271FC8" w:rsidRDefault="009B1D2A" w:rsidP="00271FC8">
    <w:pPr>
      <w:pStyle w:val="Header"/>
      <w:jc w:val="right"/>
    </w:pPr>
    <w:r w:rsidRPr="009B1D2A">
      <w:rPr>
        <w:rFonts w:ascii="Calibri" w:eastAsia="Calibri" w:hAnsi="Calibri" w:cs="Times New Roman"/>
        <w:noProof/>
        <w:sz w:val="22"/>
        <w:szCs w:val="22"/>
        <w:lang w:eastAsia="en-GB"/>
      </w:rPr>
      <w:drawing>
        <wp:inline distT="0" distB="0" distL="0" distR="0" wp14:anchorId="1FD7EF85" wp14:editId="3A0C837B">
          <wp:extent cx="1209040" cy="313623"/>
          <wp:effectExtent l="0" t="0" r="0" b="0"/>
          <wp:docPr id="1" name="Picture 1" descr="F:\Treasury\21 Investor relations\Corporate Affairs\Logos\2019\Together-Primary-Logo-CMYK-Aubergine-Teal-D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easury\21 Investor relations\Corporate Affairs\Logos\2019\Together-Primary-Logo-CMYK-Aubergine-Teal-D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237" cy="3357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E5FDA"/>
    <w:multiLevelType w:val="hybridMultilevel"/>
    <w:tmpl w:val="E69C7D7E"/>
    <w:lvl w:ilvl="0" w:tplc="08090001">
      <w:start w:val="1"/>
      <w:numFmt w:val="bullet"/>
      <w:lvlText w:val=""/>
      <w:lvlJc w:val="left"/>
      <w:pPr>
        <w:ind w:left="360" w:hanging="360"/>
      </w:pPr>
      <w:rPr>
        <w:rFonts w:ascii="Symbol" w:hAnsi="Symbol" w:hint="default"/>
      </w:rPr>
    </w:lvl>
    <w:lvl w:ilvl="1" w:tplc="18BE8D0E">
      <w:start w:val="1"/>
      <w:numFmt w:val="bullet"/>
      <w:lvlText w:val="­"/>
      <w:lvlJc w:val="left"/>
      <w:pPr>
        <w:ind w:left="1080" w:hanging="360"/>
      </w:pPr>
      <w:rPr>
        <w:rFonts w:ascii="Times New Roman" w:hAnsi="Times New Roman" w:cs="Times New Roman" w:hint="default"/>
        <w:b w:val="0"/>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E92C2D"/>
    <w:multiLevelType w:val="hybridMultilevel"/>
    <w:tmpl w:val="6A20A9A2"/>
    <w:name w:val="(Unnamed Numbering Scheme)"/>
    <w:lvl w:ilvl="0" w:tplc="FF88A04E">
      <w:start w:val="1"/>
      <w:numFmt w:val="bullet"/>
      <w:pStyle w:val="BulletedList"/>
      <w:lvlText w:val=""/>
      <w:lvlJc w:val="left"/>
      <w:pPr>
        <w:ind w:left="720" w:hanging="360"/>
      </w:pPr>
      <w:rPr>
        <w:rFonts w:ascii="Symbol" w:hAnsi="Symbol" w:hint="default"/>
        <w:color w:val="3F2C59"/>
        <w:u w:color="00A19A"/>
      </w:rPr>
    </w:lvl>
    <w:lvl w:ilvl="1" w:tplc="08090001">
      <w:start w:val="1"/>
      <w:numFmt w:val="bullet"/>
      <w:lvlText w:val=""/>
      <w:lvlJc w:val="left"/>
      <w:pPr>
        <w:ind w:left="36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EB8EA3E">
      <w:numFmt w:val="bullet"/>
      <w:lvlText w:val="-"/>
      <w:lvlJc w:val="left"/>
      <w:pPr>
        <w:ind w:left="3600" w:hanging="360"/>
      </w:pPr>
      <w:rPr>
        <w:rFonts w:ascii="Charter" w:eastAsia="Times New Roman" w:hAnsi="Charter" w:cs="Times New Roman"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D7FDA"/>
    <w:multiLevelType w:val="hybridMultilevel"/>
    <w:tmpl w:val="3F5E712E"/>
    <w:lvl w:ilvl="0" w:tplc="80BE7712">
      <w:numFmt w:val="bullet"/>
      <w:lvlText w:val=""/>
      <w:lvlJc w:val="left"/>
      <w:pPr>
        <w:ind w:left="839" w:hanging="360"/>
      </w:pPr>
      <w:rPr>
        <w:rFonts w:ascii="Symbol" w:eastAsia="Symbol" w:hAnsi="Symbol" w:cs="Symbol" w:hint="default"/>
        <w:b w:val="0"/>
        <w:bCs w:val="0"/>
        <w:i w:val="0"/>
        <w:iCs w:val="0"/>
        <w:spacing w:val="0"/>
        <w:w w:val="100"/>
        <w:sz w:val="20"/>
        <w:szCs w:val="20"/>
        <w:lang w:val="en-US" w:eastAsia="en-US" w:bidi="ar-SA"/>
      </w:rPr>
    </w:lvl>
    <w:lvl w:ilvl="1" w:tplc="52CCC118">
      <w:numFmt w:val="bullet"/>
      <w:lvlText w:val="•"/>
      <w:lvlJc w:val="left"/>
      <w:pPr>
        <w:ind w:left="1680" w:hanging="360"/>
      </w:pPr>
      <w:rPr>
        <w:rFonts w:hint="default"/>
        <w:lang w:val="en-US" w:eastAsia="en-US" w:bidi="ar-SA"/>
      </w:rPr>
    </w:lvl>
    <w:lvl w:ilvl="2" w:tplc="2B24862A">
      <w:numFmt w:val="bullet"/>
      <w:lvlText w:val="•"/>
      <w:lvlJc w:val="left"/>
      <w:pPr>
        <w:ind w:left="2521" w:hanging="360"/>
      </w:pPr>
      <w:rPr>
        <w:rFonts w:hint="default"/>
        <w:lang w:val="en-US" w:eastAsia="en-US" w:bidi="ar-SA"/>
      </w:rPr>
    </w:lvl>
    <w:lvl w:ilvl="3" w:tplc="6F860856">
      <w:numFmt w:val="bullet"/>
      <w:lvlText w:val="•"/>
      <w:lvlJc w:val="left"/>
      <w:pPr>
        <w:ind w:left="3361" w:hanging="360"/>
      </w:pPr>
      <w:rPr>
        <w:rFonts w:hint="default"/>
        <w:lang w:val="en-US" w:eastAsia="en-US" w:bidi="ar-SA"/>
      </w:rPr>
    </w:lvl>
    <w:lvl w:ilvl="4" w:tplc="2708DA30">
      <w:numFmt w:val="bullet"/>
      <w:lvlText w:val="•"/>
      <w:lvlJc w:val="left"/>
      <w:pPr>
        <w:ind w:left="4202" w:hanging="360"/>
      </w:pPr>
      <w:rPr>
        <w:rFonts w:hint="default"/>
        <w:lang w:val="en-US" w:eastAsia="en-US" w:bidi="ar-SA"/>
      </w:rPr>
    </w:lvl>
    <w:lvl w:ilvl="5" w:tplc="095EA2FE">
      <w:numFmt w:val="bullet"/>
      <w:lvlText w:val="•"/>
      <w:lvlJc w:val="left"/>
      <w:pPr>
        <w:ind w:left="5043" w:hanging="360"/>
      </w:pPr>
      <w:rPr>
        <w:rFonts w:hint="default"/>
        <w:lang w:val="en-US" w:eastAsia="en-US" w:bidi="ar-SA"/>
      </w:rPr>
    </w:lvl>
    <w:lvl w:ilvl="6" w:tplc="55703A9A">
      <w:numFmt w:val="bullet"/>
      <w:lvlText w:val="•"/>
      <w:lvlJc w:val="left"/>
      <w:pPr>
        <w:ind w:left="5883" w:hanging="360"/>
      </w:pPr>
      <w:rPr>
        <w:rFonts w:hint="default"/>
        <w:lang w:val="en-US" w:eastAsia="en-US" w:bidi="ar-SA"/>
      </w:rPr>
    </w:lvl>
    <w:lvl w:ilvl="7" w:tplc="946A0C94">
      <w:numFmt w:val="bullet"/>
      <w:lvlText w:val="•"/>
      <w:lvlJc w:val="left"/>
      <w:pPr>
        <w:ind w:left="6724" w:hanging="360"/>
      </w:pPr>
      <w:rPr>
        <w:rFonts w:hint="default"/>
        <w:lang w:val="en-US" w:eastAsia="en-US" w:bidi="ar-SA"/>
      </w:rPr>
    </w:lvl>
    <w:lvl w:ilvl="8" w:tplc="DAE89744">
      <w:numFmt w:val="bullet"/>
      <w:lvlText w:val="•"/>
      <w:lvlJc w:val="left"/>
      <w:pPr>
        <w:ind w:left="7565" w:hanging="360"/>
      </w:pPr>
      <w:rPr>
        <w:rFonts w:hint="default"/>
        <w:lang w:val="en-US" w:eastAsia="en-US" w:bidi="ar-SA"/>
      </w:rPr>
    </w:lvl>
  </w:abstractNum>
  <w:num w:numId="1" w16cid:durableId="1863586518">
    <w:abstractNumId w:val="1"/>
  </w:num>
  <w:num w:numId="2" w16cid:durableId="1024941312">
    <w:abstractNumId w:val="0"/>
  </w:num>
  <w:num w:numId="3" w16cid:durableId="380397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C8"/>
    <w:rsid w:val="00070862"/>
    <w:rsid w:val="00097680"/>
    <w:rsid w:val="000A7400"/>
    <w:rsid w:val="00131190"/>
    <w:rsid w:val="001732B3"/>
    <w:rsid w:val="001A1BFD"/>
    <w:rsid w:val="00236728"/>
    <w:rsid w:val="00271FC8"/>
    <w:rsid w:val="003B5831"/>
    <w:rsid w:val="004E17D8"/>
    <w:rsid w:val="005E1BD7"/>
    <w:rsid w:val="00664F70"/>
    <w:rsid w:val="0075421A"/>
    <w:rsid w:val="00801A02"/>
    <w:rsid w:val="00866239"/>
    <w:rsid w:val="009B1D2A"/>
    <w:rsid w:val="00AA6DA4"/>
    <w:rsid w:val="00B34834"/>
    <w:rsid w:val="00BD16C8"/>
    <w:rsid w:val="00BE716B"/>
    <w:rsid w:val="00D83477"/>
    <w:rsid w:val="00DB30DF"/>
    <w:rsid w:val="00EA339E"/>
    <w:rsid w:val="00EB5A11"/>
    <w:rsid w:val="00EC629A"/>
    <w:rsid w:val="00F01C4D"/>
    <w:rsid w:val="00F87F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FC7D"/>
  <w15:chartTrackingRefBased/>
  <w15:docId w15:val="{BECD8C23-600D-48CD-880C-E3C9753A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C8"/>
    <w:pPr>
      <w:spacing w:after="0" w:line="240" w:lineRule="auto"/>
    </w:pPr>
    <w:rPr>
      <w:rFonts w:ascii="Georgia" w:hAnsi="Georgia"/>
      <w:sz w:val="20"/>
      <w:szCs w:val="24"/>
    </w:rPr>
  </w:style>
  <w:style w:type="paragraph" w:styleId="Heading1">
    <w:name w:val="heading 1"/>
    <w:basedOn w:val="Normal"/>
    <w:next w:val="BodyText"/>
    <w:link w:val="Heading1Char"/>
    <w:qFormat/>
    <w:rsid w:val="003B5831"/>
    <w:pPr>
      <w:keepNext/>
      <w:keepLines/>
      <w:spacing w:after="200" w:line="246" w:lineRule="atLeast"/>
      <w:outlineLvl w:val="0"/>
    </w:pPr>
    <w:rPr>
      <w:rFonts w:ascii="Charter" w:eastAsiaTheme="majorEastAsia" w:hAnsi="Charter" w:cstheme="majorBidi"/>
      <w:b/>
      <w:bCs/>
      <w:color w:val="3F2C5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FC8"/>
    <w:pPr>
      <w:tabs>
        <w:tab w:val="center" w:pos="4513"/>
        <w:tab w:val="right" w:pos="9026"/>
      </w:tabs>
    </w:pPr>
  </w:style>
  <w:style w:type="character" w:customStyle="1" w:styleId="HeaderChar">
    <w:name w:val="Header Char"/>
    <w:basedOn w:val="DefaultParagraphFont"/>
    <w:link w:val="Header"/>
    <w:uiPriority w:val="99"/>
    <w:rsid w:val="00271FC8"/>
    <w:rPr>
      <w:rFonts w:ascii="Georgia" w:hAnsi="Georgia"/>
      <w:sz w:val="20"/>
      <w:szCs w:val="24"/>
    </w:rPr>
  </w:style>
  <w:style w:type="paragraph" w:styleId="Footer">
    <w:name w:val="footer"/>
    <w:basedOn w:val="Normal"/>
    <w:link w:val="FooterChar"/>
    <w:uiPriority w:val="99"/>
    <w:unhideWhenUsed/>
    <w:rsid w:val="00271FC8"/>
    <w:pPr>
      <w:tabs>
        <w:tab w:val="center" w:pos="4513"/>
        <w:tab w:val="right" w:pos="9026"/>
      </w:tabs>
    </w:pPr>
  </w:style>
  <w:style w:type="character" w:customStyle="1" w:styleId="FooterChar">
    <w:name w:val="Footer Char"/>
    <w:basedOn w:val="DefaultParagraphFont"/>
    <w:link w:val="Footer"/>
    <w:uiPriority w:val="99"/>
    <w:rsid w:val="00271FC8"/>
    <w:rPr>
      <w:rFonts w:ascii="Georgia" w:hAnsi="Georgia"/>
      <w:sz w:val="20"/>
      <w:szCs w:val="24"/>
    </w:rPr>
  </w:style>
  <w:style w:type="paragraph" w:styleId="FootnoteText">
    <w:name w:val="footnote text"/>
    <w:basedOn w:val="Normal"/>
    <w:link w:val="FootnoteTextChar"/>
    <w:uiPriority w:val="99"/>
    <w:semiHidden/>
    <w:unhideWhenUsed/>
    <w:rsid w:val="00271FC8"/>
    <w:rPr>
      <w:szCs w:val="20"/>
    </w:rPr>
  </w:style>
  <w:style w:type="character" w:customStyle="1" w:styleId="FootnoteTextChar">
    <w:name w:val="Footnote Text Char"/>
    <w:basedOn w:val="DefaultParagraphFont"/>
    <w:link w:val="FootnoteText"/>
    <w:uiPriority w:val="99"/>
    <w:semiHidden/>
    <w:rsid w:val="00271FC8"/>
    <w:rPr>
      <w:rFonts w:ascii="Georgia" w:hAnsi="Georgia"/>
      <w:sz w:val="20"/>
      <w:szCs w:val="20"/>
    </w:rPr>
  </w:style>
  <w:style w:type="paragraph" w:customStyle="1" w:styleId="BulletedList">
    <w:name w:val="Bulleted List"/>
    <w:basedOn w:val="Normal"/>
    <w:qFormat/>
    <w:rsid w:val="00271FC8"/>
    <w:pPr>
      <w:numPr>
        <w:numId w:val="1"/>
      </w:numPr>
      <w:tabs>
        <w:tab w:val="num" w:pos="360"/>
      </w:tabs>
      <w:spacing w:after="200" w:line="246" w:lineRule="atLeast"/>
      <w:ind w:left="0" w:firstLine="0"/>
      <w:jc w:val="both"/>
    </w:pPr>
  </w:style>
  <w:style w:type="character" w:styleId="CommentReference">
    <w:name w:val="annotation reference"/>
    <w:basedOn w:val="DefaultParagraphFont"/>
    <w:uiPriority w:val="99"/>
    <w:semiHidden/>
    <w:unhideWhenUsed/>
    <w:rsid w:val="00271FC8"/>
    <w:rPr>
      <w:sz w:val="16"/>
      <w:szCs w:val="16"/>
    </w:rPr>
  </w:style>
  <w:style w:type="paragraph" w:styleId="CommentText">
    <w:name w:val="annotation text"/>
    <w:basedOn w:val="Normal"/>
    <w:link w:val="CommentTextChar"/>
    <w:uiPriority w:val="99"/>
    <w:unhideWhenUsed/>
    <w:rsid w:val="00271FC8"/>
    <w:rPr>
      <w:szCs w:val="20"/>
    </w:rPr>
  </w:style>
  <w:style w:type="character" w:customStyle="1" w:styleId="CommentTextChar">
    <w:name w:val="Comment Text Char"/>
    <w:basedOn w:val="DefaultParagraphFont"/>
    <w:link w:val="CommentText"/>
    <w:uiPriority w:val="99"/>
    <w:rsid w:val="00271FC8"/>
    <w:rPr>
      <w:rFonts w:ascii="Georgia" w:hAnsi="Georgia"/>
      <w:sz w:val="20"/>
      <w:szCs w:val="20"/>
    </w:rPr>
  </w:style>
  <w:style w:type="character" w:styleId="FootnoteReference">
    <w:name w:val="footnote reference"/>
    <w:basedOn w:val="DefaultParagraphFont"/>
    <w:uiPriority w:val="99"/>
    <w:unhideWhenUsed/>
    <w:rsid w:val="00271FC8"/>
    <w:rPr>
      <w:rFonts w:ascii="Charter" w:hAnsi="Charter"/>
      <w:sz w:val="12"/>
      <w:vertAlign w:val="superscript"/>
    </w:rPr>
  </w:style>
  <w:style w:type="paragraph" w:styleId="BalloonText">
    <w:name w:val="Balloon Text"/>
    <w:basedOn w:val="Normal"/>
    <w:link w:val="BalloonTextChar"/>
    <w:uiPriority w:val="99"/>
    <w:semiHidden/>
    <w:unhideWhenUsed/>
    <w:rsid w:val="00271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FC8"/>
    <w:rPr>
      <w:rFonts w:ascii="Segoe UI" w:hAnsi="Segoe UI" w:cs="Segoe UI"/>
      <w:sz w:val="18"/>
      <w:szCs w:val="18"/>
    </w:rPr>
  </w:style>
  <w:style w:type="table" w:customStyle="1" w:styleId="TableGrid1">
    <w:name w:val="Table Grid1"/>
    <w:basedOn w:val="TableNormal"/>
    <w:next w:val="TableGrid"/>
    <w:uiPriority w:val="59"/>
    <w:rsid w:val="00D8347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DA4"/>
    <w:pPr>
      <w:spacing w:after="0" w:line="240" w:lineRule="auto"/>
    </w:pPr>
    <w:rPr>
      <w:rFonts w:ascii="Georgia" w:hAnsi="Georgia"/>
      <w:sz w:val="20"/>
      <w:szCs w:val="24"/>
    </w:rPr>
  </w:style>
  <w:style w:type="character" w:customStyle="1" w:styleId="Heading1Char">
    <w:name w:val="Heading 1 Char"/>
    <w:basedOn w:val="DefaultParagraphFont"/>
    <w:link w:val="Heading1"/>
    <w:rsid w:val="003B5831"/>
    <w:rPr>
      <w:rFonts w:ascii="Charter" w:eastAsiaTheme="majorEastAsia" w:hAnsi="Charter" w:cstheme="majorBidi"/>
      <w:b/>
      <w:bCs/>
      <w:color w:val="3F2C59"/>
      <w:sz w:val="28"/>
      <w:szCs w:val="28"/>
    </w:rPr>
  </w:style>
  <w:style w:type="character" w:styleId="Hyperlink">
    <w:name w:val="Hyperlink"/>
    <w:basedOn w:val="DefaultParagraphFont"/>
    <w:uiPriority w:val="99"/>
    <w:unhideWhenUsed/>
    <w:rsid w:val="003B5831"/>
    <w:rPr>
      <w:color w:val="0563C1" w:themeColor="hyperlink"/>
      <w:u w:val="single"/>
    </w:rPr>
  </w:style>
  <w:style w:type="paragraph" w:styleId="ListParagraph">
    <w:name w:val="List Paragraph"/>
    <w:basedOn w:val="Normal"/>
    <w:uiPriority w:val="34"/>
    <w:qFormat/>
    <w:rsid w:val="003B5831"/>
    <w:pPr>
      <w:spacing w:after="200" w:line="276" w:lineRule="auto"/>
      <w:ind w:left="720"/>
      <w:contextualSpacing/>
    </w:pPr>
    <w:rPr>
      <w:rFonts w:asciiTheme="minorHAnsi" w:hAnsiTheme="minorHAnsi"/>
      <w:sz w:val="22"/>
      <w:szCs w:val="22"/>
    </w:rPr>
  </w:style>
  <w:style w:type="paragraph" w:styleId="BodyText">
    <w:name w:val="Body Text"/>
    <w:basedOn w:val="Normal"/>
    <w:link w:val="BodyTextChar"/>
    <w:uiPriority w:val="99"/>
    <w:semiHidden/>
    <w:unhideWhenUsed/>
    <w:rsid w:val="003B5831"/>
    <w:pPr>
      <w:spacing w:after="120"/>
    </w:pPr>
  </w:style>
  <w:style w:type="character" w:customStyle="1" w:styleId="BodyTextChar">
    <w:name w:val="Body Text Char"/>
    <w:basedOn w:val="DefaultParagraphFont"/>
    <w:link w:val="BodyText"/>
    <w:uiPriority w:val="99"/>
    <w:semiHidden/>
    <w:rsid w:val="003B5831"/>
    <w:rPr>
      <w:rFonts w:ascii="Georgia" w:hAnsi="Georg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uk.m.mimecastprotect.com/s/iTdxC0Lp6UknPGzuDhLF9xThp?domain=netroadshow.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uk.m.mimecastprotect.com/s/3Gw7C9gB5szJ7kjIofgFqaNAE?domain=investis-live.com" TargetMode="External"/><Relationship Id="rId17" Type="http://schemas.openxmlformats.org/officeDocument/2006/relationships/hyperlink" Target="mailto:Edward.Livingstone-Learmonth@camarco.co.uk" TargetMode="External"/><Relationship Id="rId2" Type="http://schemas.openxmlformats.org/officeDocument/2006/relationships/customXml" Target="../customXml/item2.xml"/><Relationship Id="rId16" Type="http://schemas.openxmlformats.org/officeDocument/2006/relationships/hyperlink" Target="mailto:ben.woodford@camarco.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vestors.togethermoney.com/" TargetMode="External"/><Relationship Id="rId5" Type="http://schemas.openxmlformats.org/officeDocument/2006/relationships/styles" Target="styles.xml"/><Relationship Id="rId15" Type="http://schemas.openxmlformats.org/officeDocument/2006/relationships/hyperlink" Target="mailto:abena.affum@togethermoney.com" TargetMode="External"/><Relationship Id="rId10" Type="http://schemas.openxmlformats.org/officeDocument/2006/relationships/hyperlink" Target="https://togethermoney.com/blog/is-this-the-road-to-residential-revival-find-out-first-in-our-new-repor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ke.davies@togethermon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535e66-fa00-45e4-a283-66411439d232" xsi:nil="true"/>
    <fa465a1a12214e15957d184dac96a5f5 xmlns="4d506864-2ae5-4ae7-a6db-ef7df8b0898b">
      <Terms xmlns="http://schemas.microsoft.com/office/infopath/2007/PartnerControls"/>
    </fa465a1a12214e15957d184dac96a5f5>
    <lcf76f155ced4ddcb4097134ff3c332f xmlns="4d506864-2ae5-4ae7-a6db-ef7df8b0898b">
      <Terms xmlns="http://schemas.microsoft.com/office/infopath/2007/PartnerControls"/>
    </lcf76f155ced4ddcb4097134ff3c332f>
    <mf469811ffca4c69bad02c47da7ff1fe xmlns="4d506864-2ae5-4ae7-a6db-ef7df8b0898b">
      <Terms xmlns="http://schemas.microsoft.com/office/infopath/2007/PartnerControls"/>
    </mf469811ffca4c69bad02c47da7ff1fe>
    <Status xmlns="f28da783-63a1-426f-b238-ea4e597e57f3">New</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3391F8418574FB05216DFD6E39F3B" ma:contentTypeVersion="19" ma:contentTypeDescription="Create a new document." ma:contentTypeScope="" ma:versionID="94b780d26dea331feaa703bcb17d3f70">
  <xsd:schema xmlns:xsd="http://www.w3.org/2001/XMLSchema" xmlns:xs="http://www.w3.org/2001/XMLSchema" xmlns:p="http://schemas.microsoft.com/office/2006/metadata/properties" xmlns:ns2="4d506864-2ae5-4ae7-a6db-ef7df8b0898b" xmlns:ns3="f28da783-63a1-426f-b238-ea4e597e57f3" xmlns:ns4="5b535e66-fa00-45e4-a283-66411439d232" targetNamespace="http://schemas.microsoft.com/office/2006/metadata/properties" ma:root="true" ma:fieldsID="94b0bb3867e5c99038ae4599e5ad1304" ns2:_="" ns3:_="" ns4:_="">
    <xsd:import namespace="4d506864-2ae5-4ae7-a6db-ef7df8b0898b"/>
    <xsd:import namespace="f28da783-63a1-426f-b238-ea4e597e57f3"/>
    <xsd:import namespace="5b535e66-fa00-45e4-a283-66411439d23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ObjectDetectorVersions" minOccurs="0"/>
                <xsd:element ref="ns4:SharedWithUsers" minOccurs="0"/>
                <xsd:element ref="ns4:SharedWithDetail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06864-2ae5-4ae7-a6db-ef7df8b0898b"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b535e66-fa00-45e4-a283-66411439d2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1c8233-ef24-4d3e-899e-a82f40eff9f3}" ma:internalName="TaxCatchAll" ma:showField="CatchAllData" ma:web="5b535e66-fa00-45e4-a283-66411439d2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68D0A-E180-4139-8695-2AD100E25074}">
  <ds:schemaRef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5b535e66-fa00-45e4-a283-66411439d232"/>
    <ds:schemaRef ds:uri="f28da783-63a1-426f-b238-ea4e597e57f3"/>
    <ds:schemaRef ds:uri="http://schemas.microsoft.com/office/2006/metadata/properties"/>
    <ds:schemaRef ds:uri="4d506864-2ae5-4ae7-a6db-ef7df8b0898b"/>
    <ds:schemaRef ds:uri="http://www.w3.org/XML/1998/namespace"/>
    <ds:schemaRef ds:uri="http://purl.org/dc/terms/"/>
  </ds:schemaRefs>
</ds:datastoreItem>
</file>

<file path=customXml/itemProps2.xml><?xml version="1.0" encoding="utf-8"?>
<ds:datastoreItem xmlns:ds="http://schemas.openxmlformats.org/officeDocument/2006/customXml" ds:itemID="{DCA8B9E7-3CF1-48E2-B64C-C2A5B8DA7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06864-2ae5-4ae7-a6db-ef7df8b0898b"/>
    <ds:schemaRef ds:uri="f28da783-63a1-426f-b238-ea4e597e57f3"/>
    <ds:schemaRef ds:uri="5b535e66-fa00-45e4-a283-66411439d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8EF3B-DB71-41E3-9FF8-3EC78DE44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Together</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Abena Affum</dc:creator>
  <cp:keywords/>
  <dc:description/>
  <cp:lastModifiedBy>Campbell, Alex</cp:lastModifiedBy>
  <cp:revision>5</cp:revision>
  <cp:lastPrinted>2024-11-20T22:42:00Z</cp:lastPrinted>
  <dcterms:created xsi:type="dcterms:W3CDTF">2024-11-20T22:08:00Z</dcterms:created>
  <dcterms:modified xsi:type="dcterms:W3CDTF">2024-11-20T22:42:00Z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0x01010018F3391F8418574FB05216DFD6E39F3B</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y fmtid="{D5CDD505-2E9C-101B-9397-08002B2CF9AE}" pid="6" name="Document_x0020_Type">
    <vt:lpwstr/>
  </property>
</Properties>
</file>